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Tanachat S. ([leader institution])  &lt;- fill in</w:t>
      </w:r>
    </w:p>
    <w:p>
      <w:pPr>
        <w:spacing w:after="40"/>
        <w:jc w:val="center"/>
      </w:pPr>
      <w:r>
        <w:rPr>
          <w:b w:val="0"/>
          <w:i w:val="0"/>
        </w:rPr>
        <w:t>Members: Puttitada Pruetchayakul (Bodindecha (Sing Singhaseni) School)</w:t>
      </w:r>
    </w:p>
    <w:p>
      <w:pPr>
        <w:spacing w:after="40"/>
        <w:jc w:val="center"/>
      </w:pPr>
      <w:r>
        <w:rPr>
          <w:b w:val="0"/>
          <w:i w:val="0"/>
        </w:rPr>
        <w:t>Institution: Bodindecha (Sing Singhaseni) School; [leader institution]</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