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60" w:before="0"/>
        <w:jc w:val="center"/>
      </w:pPr>
      <w:r>
        <w:rPr>
          <w:rFonts w:ascii="TH Sarabun New" w:hAnsi="TH Sarabun New" w:cs="TH Sarabun New" w:eastAsia="TH Sarabun New"/>
          <w:b/>
          <w:i w:val="0"/>
          <w:sz w:val="36"/>
          <w:u w:val="none"/>
          <w:szCs w:val="36"/>
        </w:rPr>
        <w:t>การจัดลำดับความสำคัญของสารในรำข้าวไรซ์เบอร์รี่ต่อเอนไซม์แอลฟา-กลูโคซิเดสและแอลฟา-อะไมเลสของมนุษย์ด้วยการจำลองการจับโมเลกุล เพื่อเพิ่มมูลค่าผลพลอยได้จากการสีข้าว</w:t>
      </w:r>
    </w:p>
    <w:p>
      <w:pPr>
        <w:spacing w:after="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sz w:val="32"/>
          <w:u w:val="single"/>
          <w:szCs w:val="32"/>
        </w:rPr>
        <w:t>พุฒิธาดา พฤฒชยากุล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vertAlign w:val="superscript"/>
          <w:szCs w:val="32"/>
        </w:rPr>
        <w:t>1*</w:t>
      </w:r>
    </w:p>
    <w:p>
      <w:pPr>
        <w:spacing w:after="0" w:before="0"/>
        <w:jc w:val="center"/>
      </w:pPr>
      <w:r>
        <w:rPr>
          <w:rFonts w:ascii="TH Sarabun New" w:hAnsi="TH Sarabun New" w:cs="TH Sarabun New" w:eastAsia="TH Sarabun New"/>
          <w:b w:val="0"/>
          <w:i/>
          <w:sz w:val="32"/>
          <w:u w:val="none"/>
          <w:vertAlign w:val="superscript"/>
          <w:szCs w:val="32"/>
        </w:rPr>
        <w:t>1</w:t>
      </w:r>
      <w:r>
        <w:rPr>
          <w:rFonts w:ascii="TH Sarabun New" w:hAnsi="TH Sarabun New" w:cs="TH Sarabun New" w:eastAsia="TH Sarabun New"/>
          <w:b w:val="0"/>
          <w:i/>
          <w:sz w:val="32"/>
          <w:u w:val="none"/>
          <w:szCs w:val="32"/>
        </w:rPr>
        <w:t xml:space="preserve"> โรงเรียนบดินทรเดชา (สิงห์ สิงหเสนี) กรุงเทพมหานคร ประเทศไทย</w:t>
      </w:r>
    </w:p>
    <w:p>
      <w:pPr>
        <w:spacing w:after="0" w:before="0"/>
        <w:jc w:val="both"/>
      </w:pPr>
    </w:p>
    <w:p>
      <w:pPr>
        <w:spacing w:after="120" w:before="0"/>
        <w:jc w:val="both"/>
      </w:pP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หลักการและเหตุผล: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รำข้าวไรซ์เบอร์รี่เป็นผลพลอยได้มูลค่าต่ำจากการสีข้าวของไทย ประกอบด้วยแอนโทไซยานิน แกมมา-โอริซานอล วิตามินอี และกรดฟีนอลิก มีรายงานการทดลองในหลอดทดลองว่าแอนโทไซยานินจากข้าวสียับยั้งเอนไซม์ย่อยแป้งคือแอลฟา-กลูโคซิเดสและแอลฟา-อะไมเลสได้ แต่ยังไม่ทราบว่าควรสกัดและทดสอบสารตัวใดก่อน เพราะยังไม่เคยมีการเปรียบเทียบสารเหล่านี้ด้วยกันเองบนเอนไซม์ของมนุษย์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วัตถุประสงค์: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เพื่อจัดลำดับความสำคัญของสาร 11 ชนิดที่มีรายงานในรำข้าวไรซ์เบอร์รี่ ตามการจับที่ทำนายได้กับเอนไซม์มอลเทส-กลูโคอะไมเลส (MGAM) และแอลฟา-อะไมเลสจากตับอ่อน (HPA) ของมนุษย์ ร่วมกับความสามารถในการละลายที่ส่วนผสมอาหารจำเป็นต้องมี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วิธีการศึกษา: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เตรียมโครงสร้าง MGAM (PDB 2QMJ) และ HPA (PDB 3BAJ) ที่ pH 7.4 แล้วทำ molecular docking เข้าตำแหน่งจับของอะคาร์โบสด้วย AutoDock Vina 1.2.7 (exhaustiveness 16 ทำซ้ำอิสระ 3 รอบ รวม 78 การทดลอง) ตรวจสอบความถูกต้องด้วยการ re-docking อะคาร์โบสจากผลึก พร้อมวิเคราะห์กรดอะมิโนที่สัมผัส ประสิทธิภาพการจับต่ออะตอม และสมบัติทางเคมีกายภาพ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ผลการศึกษา: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อะคาร์โบสที่ re-dock กลับเข้าตำแหน่งเดิมในผลึก (RMSD 2.04–2.06 อังสตรอม; −7.81 กิโลแคลอรีต่อโมลบน MGAM และ −8.69 บน HPA) เอสเทอร์ของแกมมา-โอริซานอลจับแน่นที่สุด (ไซโคลอาร์ทีนิลเฟรูเลต −8.87 ± 0.12 บน MGAM และ −10.52 ± 0.09 บน HPA) แต่ชอบไขมันสูงมาก (logP &gt; 10) รองลงมาคือไซยานิดิน-3-โอ-กลูโคไซด์ (−7.71 ± 0.02; −8.09 ± 0.02) และพีโอนิดิน-3-โอ-กลูโคไซด์ (−7.64; −8.09) ซึ่งสร้างพันธะไฮโดรเจนกับกรดอะมิโนเร่งปฏิกิริยา Asp443 และ Asp542 ของ MGAM และ Asp197 และ Glu233 ของ HPA ทั้งยังเป็นสารอันดับต้นเพียงกลุ่มเดียวที่ละลายน้ำได้ (logP &lt; 0.7) ส่วนกรดฟีนอลิกจับได้อ่อน (−6.6 ถึง −5.6)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สรุปผล: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ในกลุ่มสารที่ศึกษา แอนโทไซยานินมีทั้งค่าการจับที่ทำนายได้สูงและละลายน้ำได้เหมาะกับการใช้ในอาหาร ต่างจากสารที่จับแน่นที่สุด ทั้งนี้ค่า docking เป็นการจัดลำดับการจับที่ทำนายได้ ไม่สามารถบอกความแรงในการยับยั้งหรือความจำเพาะต่อเอนไซม์ ซึ่งต้องยืนยันด้วยการทดสอบเอนไซม์แต่ละตัว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การนำไปประยุกต์ใช้: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ผลการจัดลำดับชี้ว่าควรเลือกส่วนสกัดน้ำที่เป็นกรดซึ่งมีแอนโทไซยานินสูง แทนที่จะใช้รำทั้งหมดหรือส่วนน้ำมัน ไปพัฒนาต่อ และกำหนดรูปแบบการทดสอบค่า IC50 บนเอนไซม์ทั้งสองตัวที่ต้องทำต่อไป</w:t>
      </w:r>
    </w:p>
    <w:p>
      <w:pPr>
        <w:spacing w:after="40" w:before="0"/>
        <w:jc w:val="left"/>
      </w:pPr>
      <w:r>
        <w:rPr>
          <w:rFonts w:ascii="TH Sarabun New" w:hAnsi="TH Sarabun New" w:cs="TH Sarabun New" w:eastAsia="TH Sarabun New"/>
          <w:b/>
          <w:i w:val="0"/>
          <w:sz w:val="28"/>
          <w:u w:val="none"/>
          <w:szCs w:val="28"/>
        </w:rPr>
        <w:t xml:space="preserve">คำสำคัญ: </w:t>
      </w:r>
      <w:r>
        <w:rPr>
          <w:rFonts w:ascii="TH Sarabun New" w:hAnsi="TH Sarabun New" w:cs="TH Sarabun New" w:eastAsia="TH Sarabun New"/>
          <w:b w:val="0"/>
          <w:i w:val="0"/>
          <w:sz w:val="28"/>
          <w:u w:val="none"/>
          <w:szCs w:val="28"/>
        </w:rPr>
        <w:t>รำข้าวไรซ์เบอร์รี่, แอนโทไซยานิน, แกมมา-โอริซานอล, แอลฟา-กลูโคซิเดส, การจำลองการจับโมเลกุล</w:t>
      </w:r>
    </w:p>
    <w:p>
      <w:pPr>
        <w:spacing w:after="40" w:before="0"/>
        <w:jc w:val="left"/>
      </w:pPr>
      <w:r>
        <w:rPr>
          <w:rFonts w:ascii="TH Sarabun New" w:hAnsi="TH Sarabun New" w:cs="TH Sarabun New" w:eastAsia="TH Sarabun New"/>
          <w:b/>
          <w:i w:val="0"/>
          <w:sz w:val="28"/>
          <w:u w:val="none"/>
          <w:szCs w:val="28"/>
        </w:rPr>
        <w:t xml:space="preserve">*Corresponding author: </w:t>
      </w:r>
      <w:r>
        <w:rPr>
          <w:rFonts w:ascii="TH Sarabun New" w:hAnsi="TH Sarabun New" w:cs="TH Sarabun New" w:eastAsia="TH Sarabun New"/>
          <w:b w:val="0"/>
          <w:i w:val="0"/>
          <w:sz w:val="28"/>
          <w:u w:val="none"/>
          <w:szCs w:val="28"/>
        </w:rPr>
        <w:t>graciepiewppiew@gmail.com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>DOCKING-BASED PRIORITISATION OF RICEBERRY BRAN CONSTITUENTS AGAINST HUMAN α-GLUCOSIDASE AND α-AMYLASE FOR BY-PRODUCT VALORISATION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 w:val="0"/>
          <w:sz w:val="22"/>
          <w:u w:val="single"/>
          <w:szCs w:val="22"/>
        </w:rPr>
        <w:t>Puttitada Pruetchayakul</w:t>
      </w:r>
      <w:r>
        <w:rPr>
          <w:rFonts w:ascii="Arial" w:hAnsi="Arial" w:cs="Arial" w:eastAsia="Arial"/>
          <w:b w:val="0"/>
          <w:i w:val="0"/>
          <w:sz w:val="22"/>
          <w:u w:val="none"/>
          <w:vertAlign w:val="superscript"/>
          <w:szCs w:val="22"/>
        </w:rPr>
        <w:t>1*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/>
          <w:sz w:val="22"/>
          <w:u w:val="none"/>
          <w:vertAlign w:val="superscript"/>
          <w:szCs w:val="22"/>
        </w:rPr>
        <w:t>1</w:t>
      </w:r>
      <w:r>
        <w:rPr>
          <w:rFonts w:ascii="Arial" w:hAnsi="Arial" w:cs="Arial" w:eastAsia="Arial"/>
          <w:b w:val="0"/>
          <w:i/>
          <w:sz w:val="22"/>
          <w:u w:val="none"/>
          <w:szCs w:val="22"/>
        </w:rPr>
        <w:t xml:space="preserve"> Bodindecha (Sing Singhaseni) School, Bangkok, Thailand</w:t>
      </w:r>
    </w:p>
    <w:p>
      <w:pPr>
        <w:spacing w:after="0" w:before="0"/>
        <w:jc w:val="both"/>
      </w:pPr>
    </w:p>
    <w:p>
      <w:pPr>
        <w:spacing w:after="120" w:before="0"/>
        <w:jc w:val="both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Rationale: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 low-value by-product of Thai rice milling, contains anthocyanins, γ-oryzanol, vitamin E and phenolic acids. Anthocyanins from pigmented rice inhibit the starch-digesting enzymes α-glucosidase and α-amylase in vitro. Which to extract and assay first is unresolved: they have never been compared on the human enzymes.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Objective: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To prioritise eleven Riceberry bran constituents by predicted binding to human maltase-glucoamylase (MGAM) and pancreatic α-amylase (HPA), alongside the solubility a food ingredient needs.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Methods: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MGAM (PDB 2QMJ) and HPA (PDB 3BAJ) were prepared at pH 7.4; compounds were docked into the acarbose site with AutoDock Vina 1.2.7 (exhaustiveness 16, 3 seeds, 78 runs). Re-docking crystal acarbose validated the protocol. Contact residues and physicochemical properties were analysed.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Results: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Re-docked acarbose reproduced its crystal pose (RMSD 2.04–2.06 Å; −7.81 kcal/mol on MGAM, −8.69 on HPA). γ-Oryzanol esters bound most tightly (cycloartenyl ferulate −8.87 ± 0.12 on MGAM, −10.52 ± 0.09 on HPA) but were strongly lipophilic (logP &gt; 10). Cyanidin-3-O-glucoside (−7.71 ± 0.02; −8.09 ± 0.02) and peonidin-3-O-glucoside (−7.64; −8.09) ranked next, hydrogen-bonded the catalytic acids of both enzymes (Asp443/Asp542 and Asp197/Glu233), and were the only water-soluble front-runners (logP &lt; 0.7).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Conclusion: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Within this panel the anthocyanins combine high predicted binding with food-compatible solubility; the tightest binders do not. Docking ranks predicted binding only; potency and selectivity require assay confirmation.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Application: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The ranking identifies the acidified aqueous, anthocyanin-rich fraction, not whole bran or the oil fraction, as the one to carry forward, and defines the two-enzyme IC50 comparison needed to test it.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Keywords: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anthocyanin, γ-oryzanol, α-glucosidase, molecular docking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*Corresponding author: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graciepiewppiew@gmail.com</w:t>
      </w:r>
    </w:p>
    <w:sectPr w:rsidR="00394080">
      <w:headerReference w:type="default" r:id="rId7"/>
      <w:footerReference w:type="default" r:id="rId8"/>
      <w:pgSz w:w="11900" w:h="16840"/>
      <w:pgMar w:top="1134" w:right="1134" w:bottom="709" w:left="1418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C84A55" w14:textId="77777777" w:rsidR="00B76EAA" w:rsidRDefault="00B76EAA">
      <w:r>
        <w:separator/>
      </w:r>
    </w:p>
  </w:endnote>
  <w:endnote w:type="continuationSeparator" w:id="0">
    <w:p w14:paraId="6C26A458" w14:textId="77777777" w:rsidR="00B76EAA" w:rsidRDefault="00B76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B759097-9FBB-FC41-83D3-2385CDA3EB3A}"/>
    <w:embedBold r:id="rId2" w:fontKey="{B86D31B7-4D0D-ED42-8BA5-0C11982676A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3" w:fontKey="{B791628A-FDB9-8144-95D1-15B87D7C470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D9BD7F4F-259F-1D45-BE09-A820695D1925}"/>
    <w:embedBold r:id="rId5" w:fontKey="{AA1C5419-B662-404D-845F-C8510D3B92AD}"/>
    <w:embedItalic r:id="rId6" w:fontKey="{98E3CD54-F7FC-7646-96FC-11C3098EB40C}"/>
    <w:embedBoldItalic r:id="rId7" w:fontKey="{836E86D2-C741-1041-9C22-5AF26E60D3C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CF3C45CD-5D45-1049-BC3B-EA9A97485683}"/>
    <w:embedBold r:id="rId9" w:fontKey="{6AC9E70F-9626-5D42-8AF1-CA71EFAFE80A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  <w:embedBold r:id="rId14" w:fontKey="{23298609-A813-A045-A625-5DBA80C29340}"/>
    <w:embedBoldItalic r:id="rId15" w:fontKey="{55A63566-F262-AE43-B92E-8223C7F2E54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6" w:fontKey="{0E4E6119-9CDB-E44E-ACB5-89262BE72E8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7" w:fontKey="{7C72B7A8-6F7B-C24C-B5D7-044C4E3DA2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65678E" w14:textId="77777777" w:rsidR="0083535F" w:rsidRDefault="003013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9B65C86" wp14:editId="74086528">
          <wp:simplePos x="0" y="0"/>
          <wp:positionH relativeFrom="column">
            <wp:posOffset>-1021079</wp:posOffset>
          </wp:positionH>
          <wp:positionV relativeFrom="paragraph">
            <wp:posOffset>9004935</wp:posOffset>
          </wp:positionV>
          <wp:extent cx="8008620" cy="951230"/>
          <wp:effectExtent l="0" t="0" r="0" b="0"/>
          <wp:wrapSquare wrapText="bothSides" distT="0" distB="0" distL="114300" distR="114300"/>
          <wp:docPr id="2" name="image1.png" descr="ท้าย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ท้าย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08620" cy="951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F92000" w14:textId="77777777" w:rsidR="00B76EAA" w:rsidRDefault="00B76EAA">
      <w:r>
        <w:separator/>
      </w:r>
    </w:p>
  </w:footnote>
  <w:footnote w:type="continuationSeparator" w:id="0">
    <w:p w14:paraId="3B3EDCA3" w14:textId="77777777" w:rsidR="00B76EAA" w:rsidRDefault="00B76E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64391" w14:textId="77777777" w:rsidR="0083535F" w:rsidRDefault="00301341">
    <w:pPr>
      <w:widowControl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1FBE2C" wp14:editId="6DCF6DDB">
          <wp:simplePos x="0" y="0"/>
          <wp:positionH relativeFrom="column">
            <wp:posOffset>-907414</wp:posOffset>
          </wp:positionH>
          <wp:positionV relativeFrom="paragraph">
            <wp:posOffset>-529589</wp:posOffset>
          </wp:positionV>
          <wp:extent cx="7693660" cy="913130"/>
          <wp:effectExtent l="0" t="0" r="0" b="0"/>
          <wp:wrapSquare wrapText="bothSides" distT="0" distB="0" distL="114300" distR="114300"/>
          <wp:docPr id="1" name="image2.png" descr="หัว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หัว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93660" cy="9131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E27BDE"/>
    <w:multiLevelType w:val="multilevel"/>
    <w:tmpl w:val="72CC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88624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35F"/>
    <w:rsid w:val="00301341"/>
    <w:rsid w:val="00394080"/>
    <w:rsid w:val="00431059"/>
    <w:rsid w:val="004C78B5"/>
    <w:rsid w:val="00517AD1"/>
    <w:rsid w:val="00724EF9"/>
    <w:rsid w:val="0083535F"/>
    <w:rsid w:val="00B76EAA"/>
    <w:rsid w:val="00C859B7"/>
    <w:rsid w:val="00D80C21"/>
    <w:rsid w:val="00D82F61"/>
    <w:rsid w:val="00E21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18CC6"/>
  <w15:docId w15:val="{2D7C2BD9-C10C-489D-B999-FDDF7CB22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th-TH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9B7"/>
    <w:rPr>
      <w:rFonts w:eastAsia="MS Mincho" w:cs="Angsana New"/>
      <w:kern w:val="2"/>
      <w:szCs w:val="24"/>
      <w:lang w:val="en-US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kern w:val="0"/>
      <w:sz w:val="24"/>
      <w:lang w:val="en" w:eastAsia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widowControl/>
      <w:jc w:val="left"/>
      <w:outlineLvl w:val="1"/>
    </w:pPr>
    <w:rPr>
      <w:rFonts w:ascii="Arial" w:eastAsia="Arial" w:hAnsi="Arial" w:cs="Arial"/>
      <w:kern w:val="0"/>
      <w:szCs w:val="20"/>
      <w:u w:val="single"/>
      <w:lang w:val="en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ind w:left="400"/>
      <w:outlineLvl w:val="2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400"/>
      <w:outlineLvl w:val="3"/>
    </w:pPr>
    <w:rPr>
      <w:rFonts w:eastAsia="Times New Roman" w:cs="Times New Roman"/>
      <w:b/>
      <w:bCs/>
      <w:kern w:val="0"/>
      <w:szCs w:val="20"/>
      <w:lang w:val="en"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800"/>
      <w:outlineLvl w:val="4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800"/>
      <w:outlineLvl w:val="5"/>
    </w:pPr>
    <w:rPr>
      <w:rFonts w:eastAsia="Times New Roman" w:cs="Times New Roman"/>
      <w:b/>
      <w:bCs/>
      <w:kern w:val="0"/>
      <w:szCs w:val="20"/>
      <w:lang w:val="e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eastAsia="Times New Roman" w:cs="Times New Roman"/>
      <w:b/>
      <w:bCs/>
      <w:kern w:val="0"/>
      <w:sz w:val="28"/>
      <w:szCs w:val="28"/>
      <w:lang w:val="en" w:eastAsia="en-US"/>
    </w:r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rFonts w:eastAsia="Times New Roman" w:cs="Times New Roman"/>
      <w:b/>
      <w:bCs/>
      <w:kern w:val="0"/>
      <w:sz w:val="22"/>
      <w:szCs w:val="22"/>
      <w:lang w:val="en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394080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394080"/>
    <w:rPr>
      <w:rFonts w:cs="Angsana New"/>
      <w:szCs w:val="25"/>
    </w:rPr>
  </w:style>
  <w:style w:type="paragraph" w:styleId="NormalWeb">
    <w:name w:val="Normal (Web)"/>
    <w:basedOn w:val="Normal"/>
    <w:uiPriority w:val="99"/>
    <w:semiHidden/>
    <w:unhideWhenUsed/>
    <w:rsid w:val="00394080"/>
    <w:pPr>
      <w:widowControl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en-US"/>
    </w:rPr>
  </w:style>
  <w:style w:type="character" w:styleId="Strong">
    <w:name w:val="Strong"/>
    <w:basedOn w:val="DefaultParagraphFont"/>
    <w:uiPriority w:val="22"/>
    <w:qFormat/>
    <w:rsid w:val="0039408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080"/>
    <w:rPr>
      <w:rFonts w:ascii="Arial" w:eastAsia="Arial" w:hAnsi="Arial" w:cs="Arial"/>
    </w:rPr>
  </w:style>
  <w:style w:type="character" w:customStyle="1" w:styleId="TCN-Thaiabstract-ThaiTitleChar">
    <w:name w:val="TCN-Thai abstract-Thai Title Char"/>
    <w:link w:val="TCN-Thaiabstract-ThaiTitle"/>
    <w:locked/>
    <w:rsid w:val="00D80C21"/>
    <w:rPr>
      <w:rFonts w:ascii="Cordia New" w:eastAsia="MS Mincho" w:hAnsi="Cordia New" w:cs="Cordia New"/>
      <w:b/>
      <w:bCs/>
      <w:kern w:val="2"/>
      <w:sz w:val="36"/>
      <w:szCs w:val="36"/>
      <w:lang w:eastAsia="ja-JP"/>
    </w:rPr>
  </w:style>
  <w:style w:type="paragraph" w:customStyle="1" w:styleId="TCN-Thaiabstract-ThaiTitle">
    <w:name w:val="TCN-Thai abstract-Thai Title"/>
    <w:basedOn w:val="Normal"/>
    <w:link w:val="TCN-Thaiabstract-ThaiTitleChar"/>
    <w:qFormat/>
    <w:rsid w:val="00D80C21"/>
    <w:rPr>
      <w:rFonts w:ascii="Cordia New" w:hAnsi="Cordia New" w:cs="Cordia New"/>
      <w:b/>
      <w:bCs/>
      <w:sz w:val="36"/>
      <w:szCs w:val="36"/>
      <w:lang w:val="en"/>
    </w:rPr>
  </w:style>
  <w:style w:type="character" w:customStyle="1" w:styleId="TCN-Thaiabstract-EngTitleChar">
    <w:name w:val="TCN-Thai abstract-EngTitle Char"/>
    <w:link w:val="TCN-Thaiabstract-EngTitle"/>
    <w:locked/>
    <w:rsid w:val="00D80C21"/>
    <w:rPr>
      <w:rFonts w:ascii="Arial" w:eastAsia="MS Mincho" w:hAnsi="Arial" w:cs="Arial"/>
      <w:b/>
      <w:bCs/>
      <w:kern w:val="2"/>
      <w:sz w:val="24"/>
      <w:szCs w:val="24"/>
      <w:lang w:eastAsia="ja-JP"/>
    </w:rPr>
  </w:style>
  <w:style w:type="paragraph" w:customStyle="1" w:styleId="TCN-Thaiabstract-EngTitle">
    <w:name w:val="TCN-Thai abstract-EngTitle"/>
    <w:basedOn w:val="Normal"/>
    <w:link w:val="TCN-Thaiabstract-EngTitleChar"/>
    <w:qFormat/>
    <w:rsid w:val="00D80C21"/>
    <w:pPr>
      <w:jc w:val="left"/>
    </w:pPr>
    <w:rPr>
      <w:rFonts w:ascii="Arial" w:hAnsi="Arial" w:cs="Arial"/>
      <w:b/>
      <w:bCs/>
      <w:sz w:val="24"/>
      <w:lang w:val="en"/>
    </w:rPr>
  </w:style>
  <w:style w:type="character" w:customStyle="1" w:styleId="TCN-Thaiabstract-bodyChar">
    <w:name w:val="TCN-Thai abstract-body Char"/>
    <w:link w:val="TCN-Thaiabstract-body"/>
    <w:locked/>
    <w:rsid w:val="00D80C21"/>
    <w:rPr>
      <w:rFonts w:ascii="Cordia New" w:eastAsia="MS Mincho" w:hAnsi="Cordia New" w:cs="Cordia New"/>
      <w:kern w:val="2"/>
      <w:sz w:val="32"/>
      <w:szCs w:val="32"/>
      <w:lang w:eastAsia="ja-JP"/>
    </w:rPr>
  </w:style>
  <w:style w:type="paragraph" w:customStyle="1" w:styleId="TCN-Thaiabstract-body">
    <w:name w:val="TCN-Thai abstract-body"/>
    <w:basedOn w:val="Normal"/>
    <w:link w:val="TCN-Thaiabstract-bodyChar"/>
    <w:qFormat/>
    <w:rsid w:val="00D80C21"/>
    <w:rPr>
      <w:rFonts w:ascii="Cordia New" w:hAnsi="Cordia New" w:cs="Cordia New"/>
      <w:sz w:val="32"/>
      <w:szCs w:val="32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Punnee Ponprachanuvut</cp:lastModifiedBy>
  <cp:revision>4</cp:revision>
  <dcterms:created xsi:type="dcterms:W3CDTF">2026-10-18T06:08:00Z</dcterms:created>
  <dcterms:modified xsi:type="dcterms:W3CDTF">2026-10-18T06:12:00Z</dcterms:modified>
</cp:coreProperties>
</file>