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160" w:before="0"/>
        <w:jc w:val="center"/>
      </w:pPr>
      <w:r>
        <w:rPr>
          <w:rFonts w:ascii="TH Sarabun New" w:hAnsi="TH Sarabun New" w:cs="TH Sarabun New" w:eastAsia="TH Sarabun New"/>
          <w:b/>
          <w:i w:val="0"/>
          <w:sz w:val="36"/>
          <w:u w:val="none"/>
          <w:szCs w:val="36"/>
        </w:rPr>
        <w:t>การจัดลำดับความสำคัญของสารในรำข้าวไรซ์เบอร์รี่ต่อเอนไซม์แอลฟา-กลูโคซิเดสและแอลฟา-อะไมเลสของมนุษย์ด้วยการจำลองการจับโมเลกุล เพื่อเพิ่มมูลค่าผลพลอยได้จากการสีข้าว</w:t>
      </w:r>
    </w:p>
    <w:p>
      <w:pPr>
        <w:spacing w:after="0" w:before="0"/>
        <w:jc w:val="center"/>
      </w:pPr>
      <w:r>
        <w:rPr>
          <w:rFonts w:ascii="TH Sarabun New" w:hAnsi="TH Sarabun New" w:cs="TH Sarabun New" w:eastAsia="TH Sarabun New"/>
          <w:b w:val="0"/>
          <w:i w:val="0"/>
          <w:sz w:val="32"/>
          <w:u w:val="single"/>
          <w:szCs w:val="32"/>
        </w:rPr>
        <w:t>พุฒิธาดา พฤฒชยากุล</w:t>
      </w:r>
      <w:r>
        <w:rPr>
          <w:rFonts w:ascii="TH Sarabun New" w:hAnsi="TH Sarabun New" w:cs="TH Sarabun New" w:eastAsia="TH Sarabun New"/>
          <w:b w:val="0"/>
          <w:i w:val="0"/>
          <w:sz w:val="32"/>
          <w:u w:val="none"/>
          <w:vertAlign w:val="superscript"/>
          <w:szCs w:val="32"/>
        </w:rPr>
        <w:t>1*</w:t>
      </w:r>
    </w:p>
    <w:p>
      <w:pPr>
        <w:spacing w:after="0" w:before="0"/>
        <w:jc w:val="center"/>
      </w:pPr>
      <w:r>
        <w:rPr>
          <w:rFonts w:ascii="TH Sarabun New" w:hAnsi="TH Sarabun New" w:cs="TH Sarabun New" w:eastAsia="TH Sarabun New"/>
          <w:b w:val="0"/>
          <w:i/>
          <w:sz w:val="32"/>
          <w:u w:val="none"/>
          <w:vertAlign w:val="superscript"/>
          <w:szCs w:val="32"/>
        </w:rPr>
        <w:t>1</w:t>
      </w:r>
      <w:r>
        <w:rPr>
          <w:rFonts w:ascii="TH Sarabun New" w:hAnsi="TH Sarabun New" w:cs="TH Sarabun New" w:eastAsia="TH Sarabun New"/>
          <w:b w:val="0"/>
          <w:i/>
          <w:sz w:val="32"/>
          <w:u w:val="none"/>
          <w:szCs w:val="32"/>
        </w:rPr>
        <w:t xml:space="preserve"> โรงเรียนบดินทรเดชา (สิงห์ สิงหเสนี) กรุงเทพมหานคร ประเทศไทย</w:t>
      </w:r>
    </w:p>
    <w:p>
      <w:pPr>
        <w:spacing w:after="0" w:before="0"/>
        <w:jc w:val="both"/>
      </w:pPr>
    </w:p>
    <w:p>
      <w:pPr>
        <w:spacing w:after="120" w:before="0"/>
        <w:jc w:val="both"/>
      </w:pPr>
      <w:r>
        <w:rPr>
          <w:rFonts w:ascii="TH Sarabun New" w:hAnsi="TH Sarabun New" w:cs="TH Sarabun New" w:eastAsia="TH Sarabun New"/>
          <w:b/>
          <w:i w:val="0"/>
          <w:sz w:val="32"/>
          <w:u w:val="none"/>
          <w:szCs w:val="32"/>
        </w:rPr>
        <w:t xml:space="preserve">หลักการและเหตุผล: </w:t>
      </w:r>
      <w:r>
        <w:rPr>
          <w:rFonts w:ascii="TH Sarabun New" w:hAnsi="TH Sarabun New" w:cs="TH Sarabun New" w:eastAsia="TH Sarabun New"/>
          <w:b w:val="0"/>
          <w:i w:val="0"/>
          <w:sz w:val="32"/>
          <w:u w:val="none"/>
          <w:szCs w:val="32"/>
        </w:rPr>
        <w:t>รำข้าวไรซ์เบอร์รี่เป็นผลพลอยได้มูลค่าต่ำจากการสีข้าวของไทย ประกอบด้วยแอนโทไซยานิน แกมมา-โอริซานอล วิตามินอี และกรดฟีนอลิก มีรายงานการทดลองในหลอดทดลองว่าแอนโทไซยานินจากข้าวสียับยั้งเอนไซม์ย่อยแป้งคือแอลฟา-กลูโคซิเดสและแอลฟา-อะไมเลสได้ แต่ยังไม่ทราบว่าควรสกัดและทดสอบสารตัวใดก่อน เพราะยังไม่เคยมีการเปรียบเทียบสารเหล่านี้ด้วยกันเองบนเอนไซม์ของมนุษย์</w:t>
      </w:r>
      <w:r>
        <w:rPr>
          <w:rFonts w:ascii="TH Sarabun New" w:hAnsi="TH Sarabun New" w:cs="TH Sarabun New" w:eastAsia="TH Sarabun New"/>
          <w:b/>
          <w:i w:val="0"/>
          <w:sz w:val="32"/>
          <w:u w:val="none"/>
          <w:szCs w:val="32"/>
        </w:rPr>
        <w:t xml:space="preserve"> วัตถุประสงค์: </w:t>
      </w:r>
      <w:r>
        <w:rPr>
          <w:rFonts w:ascii="TH Sarabun New" w:hAnsi="TH Sarabun New" w:cs="TH Sarabun New" w:eastAsia="TH Sarabun New"/>
          <w:b w:val="0"/>
          <w:i w:val="0"/>
          <w:sz w:val="32"/>
          <w:u w:val="none"/>
          <w:szCs w:val="32"/>
        </w:rPr>
        <w:t>เพื่อจัดลำดับความสำคัญของสาร 11 ชนิดที่มีรายงานในรำข้าวไรซ์เบอร์รี่ ตามการจับที่ทำนายได้กับเอนไซม์มอลเทส-กลูโคอะไมเลส (MGAM) และแอลฟา-อะไมเลสจากตับอ่อน (HPA) ของมนุษย์ ร่วมกับความสามารถในการละลายที่ส่วนผสมอาหารจำเป็นต้องมี</w:t>
      </w:r>
      <w:r>
        <w:rPr>
          <w:rFonts w:ascii="TH Sarabun New" w:hAnsi="TH Sarabun New" w:cs="TH Sarabun New" w:eastAsia="TH Sarabun New"/>
          <w:b/>
          <w:i w:val="0"/>
          <w:sz w:val="32"/>
          <w:u w:val="none"/>
          <w:szCs w:val="32"/>
        </w:rPr>
        <w:t xml:space="preserve"> วิธีการศึกษา: </w:t>
      </w:r>
      <w:r>
        <w:rPr>
          <w:rFonts w:ascii="TH Sarabun New" w:hAnsi="TH Sarabun New" w:cs="TH Sarabun New" w:eastAsia="TH Sarabun New"/>
          <w:b w:val="0"/>
          <w:i w:val="0"/>
          <w:sz w:val="32"/>
          <w:u w:val="none"/>
          <w:szCs w:val="32"/>
        </w:rPr>
        <w:t>เตรียมโครงสร้าง MGAM (PDB 2QMJ) และ HPA (PDB 3BAJ) ที่ pH 7.4 แล้วทำ molecular docking เข้าตำแหน่งจับของอะคาร์โบสด้วย AutoDock Vina 1.2.7 (exhaustiveness 16 ทำซ้ำอิสระ 3 รอบ รวม 78 การทดลอง) ตรวจสอบความถูกต้องด้วยการ re-docking อะคาร์โบสจากผลึก พร้อมวิเคราะห์กรดอะมิโนที่สัมผัส ประสิทธิภาพการจับต่ออะตอม และสมบัติทางเคมีกายภาพ</w:t>
      </w:r>
      <w:r>
        <w:rPr>
          <w:rFonts w:ascii="TH Sarabun New" w:hAnsi="TH Sarabun New" w:cs="TH Sarabun New" w:eastAsia="TH Sarabun New"/>
          <w:b/>
          <w:i w:val="0"/>
          <w:sz w:val="32"/>
          <w:u w:val="none"/>
          <w:szCs w:val="32"/>
        </w:rPr>
        <w:t xml:space="preserve"> ผลการศึกษา: </w:t>
      </w:r>
      <w:r>
        <w:rPr>
          <w:rFonts w:ascii="TH Sarabun New" w:hAnsi="TH Sarabun New" w:cs="TH Sarabun New" w:eastAsia="TH Sarabun New"/>
          <w:b w:val="0"/>
          <w:i w:val="0"/>
          <w:sz w:val="32"/>
          <w:u w:val="none"/>
          <w:szCs w:val="32"/>
        </w:rPr>
        <w:t>อะคาร์โบสที่ re-dock กลับเข้าตำแหน่งเดิมในผลึก (RMSD 2.04–2.06 อังสตรอม; −7.81 กิโลแคลอรีต่อโมลบน MGAM และ −8.69 บน HPA) เอสเทอร์ของแกมมา-โอริซานอลจับแน่นที่สุด (ไซโคลอาร์ทีนิลเฟรูเลต −8.87 ± 0.12 บน MGAM และ −10.52 ± 0.09 บน HPA) แต่ชอบไขมันสูงมาก (logP &gt; 10) รองลงมาคือไซยานิดิน-3-โอ-กลูโคไซด์ (−7.71 ± 0.02; −8.09 ± 0.02) และพีโอนิดิน-3-โอ-กลูโคไซด์ (−7.64; −8.09) ซึ่งสร้างพันธะไฮโดรเจนกับกรดอะมิโนเร่งปฏิกิริยา Asp443 และ Asp542 ของ MGAM และ Asp197 และ Glu233 ของ HPA ทั้งยังเป็นสารอันดับต้นเพียงกลุ่มเดียวที่ละลายน้ำได้ (logP &lt; 0.7) ส่วนกรดฟีนอลิกจับได้อ่อน (−6.6 ถึง −5.6)</w:t>
      </w:r>
      <w:r>
        <w:rPr>
          <w:rFonts w:ascii="TH Sarabun New" w:hAnsi="TH Sarabun New" w:cs="TH Sarabun New" w:eastAsia="TH Sarabun New"/>
          <w:b/>
          <w:i w:val="0"/>
          <w:sz w:val="32"/>
          <w:u w:val="none"/>
          <w:szCs w:val="32"/>
        </w:rPr>
        <w:t xml:space="preserve"> สรุปผล: </w:t>
      </w:r>
      <w:r>
        <w:rPr>
          <w:rFonts w:ascii="TH Sarabun New" w:hAnsi="TH Sarabun New" w:cs="TH Sarabun New" w:eastAsia="TH Sarabun New"/>
          <w:b w:val="0"/>
          <w:i w:val="0"/>
          <w:sz w:val="32"/>
          <w:u w:val="none"/>
          <w:szCs w:val="32"/>
        </w:rPr>
        <w:t>ในกลุ่มสารที่ศึกษา แอนโทไซยานินมีทั้งค่าการจับที่ทำนายได้สูงและละลายน้ำได้เหมาะกับการใช้ในอาหาร ต่างจากสารที่จับแน่นที่สุด ทั้งนี้ค่า docking เป็นการจัดลำดับการจับที่ทำนายได้ ไม่สามารถบอกความแรงในการยับยั้งหรือความจำเพาะต่อเอนไซม์ ซึ่งต้องยืนยันด้วยการทดสอบเอนไซม์แต่ละตัว</w:t>
      </w:r>
      <w:r>
        <w:rPr>
          <w:rFonts w:ascii="TH Sarabun New" w:hAnsi="TH Sarabun New" w:cs="TH Sarabun New" w:eastAsia="TH Sarabun New"/>
          <w:b/>
          <w:i w:val="0"/>
          <w:sz w:val="32"/>
          <w:u w:val="none"/>
          <w:szCs w:val="32"/>
        </w:rPr>
        <w:t xml:space="preserve"> การนำไปประยุกต์ใช้: </w:t>
      </w:r>
      <w:r>
        <w:rPr>
          <w:rFonts w:ascii="TH Sarabun New" w:hAnsi="TH Sarabun New" w:cs="TH Sarabun New" w:eastAsia="TH Sarabun New"/>
          <w:b w:val="0"/>
          <w:i w:val="0"/>
          <w:sz w:val="32"/>
          <w:u w:val="none"/>
          <w:szCs w:val="32"/>
        </w:rPr>
        <w:t>ผลการจัดลำดับชี้ว่าควรเลือกส่วนสกัดน้ำที่เป็นกรดซึ่งมีแอนโทไซยานินสูง แทนที่จะใช้รำทั้งหมดหรือส่วนน้ำมัน ไปพัฒนาต่อ และกำหนดรูปแบบการทดสอบค่า IC50 บนเอนไซม์ทั้งสองตัวที่ต้องทำต่อไป</w:t>
      </w:r>
    </w:p>
    <w:p>
      <w:pPr>
        <w:spacing w:after="40" w:before="0"/>
        <w:jc w:val="left"/>
      </w:pPr>
      <w:r>
        <w:rPr>
          <w:rFonts w:ascii="TH Sarabun New" w:hAnsi="TH Sarabun New" w:cs="TH Sarabun New" w:eastAsia="TH Sarabun New"/>
          <w:b/>
          <w:i w:val="0"/>
          <w:sz w:val="28"/>
          <w:u w:val="none"/>
          <w:szCs w:val="28"/>
        </w:rPr>
        <w:t xml:space="preserve">คำสำคัญ: </w:t>
      </w:r>
      <w:r>
        <w:rPr>
          <w:rFonts w:ascii="TH Sarabun New" w:hAnsi="TH Sarabun New" w:cs="TH Sarabun New" w:eastAsia="TH Sarabun New"/>
          <w:b w:val="0"/>
          <w:i w:val="0"/>
          <w:sz w:val="28"/>
          <w:u w:val="none"/>
          <w:szCs w:val="28"/>
        </w:rPr>
        <w:t>รำข้าวไรซ์เบอร์รี่, แอนโทไซยานิน, แกมมา-โอริซานอล, แอลฟา-กลูโคซิเดส, การจำลองการจับโมเลกุล</w:t>
      </w:r>
    </w:p>
    <w:p>
      <w:pPr>
        <w:spacing w:after="40" w:before="0"/>
        <w:jc w:val="left"/>
      </w:pPr>
      <w:r>
        <w:rPr>
          <w:rFonts w:ascii="TH Sarabun New" w:hAnsi="TH Sarabun New" w:cs="TH Sarabun New" w:eastAsia="TH Sarabun New"/>
          <w:b/>
          <w:i w:val="0"/>
          <w:sz w:val="28"/>
          <w:u w:val="none"/>
          <w:szCs w:val="28"/>
        </w:rPr>
        <w:t xml:space="preserve">*Corresponding author: </w:t>
      </w:r>
      <w:r>
        <w:rPr>
          <w:rFonts w:ascii="TH Sarabun New" w:hAnsi="TH Sarabun New" w:cs="TH Sarabun New" w:eastAsia="TH Sarabun New"/>
          <w:b w:val="0"/>
          <w:i w:val="0"/>
          <w:sz w:val="28"/>
          <w:u w:val="none"/>
          <w:szCs w:val="28"/>
        </w:rPr>
        <w:t>graciepiewppiew@gmail.com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Arial" w:hAnsi="Arial" w:cs="Arial" w:eastAsia="Arial"/>
          <w:b/>
          <w:i w:val="0"/>
          <w:sz w:val="24"/>
          <w:u w:val="none"/>
          <w:szCs w:val="24"/>
        </w:rPr>
        <w:t>DOCKING-BASED PRIORITISATION OF RICEBERRY BRAN CONSTITUENTS AGAINST HUMAN α-GLUCOSIDASE AND α-AMYLASE FOR BY-PRODUCT VALORISATION</w:t>
      </w:r>
    </w:p>
    <w:p>
      <w:pPr>
        <w:spacing w:after="0" w:before="0"/>
        <w:jc w:val="center"/>
      </w:pPr>
      <w:r>
        <w:rPr>
          <w:rFonts w:ascii="Arial" w:hAnsi="Arial" w:cs="Arial" w:eastAsia="Arial"/>
          <w:b w:val="0"/>
          <w:i w:val="0"/>
          <w:sz w:val="22"/>
          <w:u w:val="single"/>
          <w:szCs w:val="22"/>
        </w:rPr>
        <w:t>Puttitada Pruetchayakul</w:t>
      </w:r>
      <w:r>
        <w:rPr>
          <w:rFonts w:ascii="Arial" w:hAnsi="Arial" w:cs="Arial" w:eastAsia="Arial"/>
          <w:b w:val="0"/>
          <w:i w:val="0"/>
          <w:sz w:val="22"/>
          <w:u w:val="none"/>
          <w:vertAlign w:val="superscript"/>
          <w:szCs w:val="22"/>
        </w:rPr>
        <w:t>1*</w:t>
      </w:r>
    </w:p>
    <w:p>
      <w:pPr>
        <w:spacing w:after="0" w:before="0"/>
        <w:jc w:val="center"/>
      </w:pPr>
      <w:r>
        <w:rPr>
          <w:rFonts w:ascii="Arial" w:hAnsi="Arial" w:cs="Arial" w:eastAsia="Arial"/>
          <w:b w:val="0"/>
          <w:i/>
          <w:sz w:val="22"/>
          <w:u w:val="none"/>
          <w:vertAlign w:val="superscript"/>
          <w:szCs w:val="22"/>
        </w:rPr>
        <w:t>1</w:t>
      </w:r>
      <w:r>
        <w:rPr>
          <w:rFonts w:ascii="Arial" w:hAnsi="Arial" w:cs="Arial" w:eastAsia="Arial"/>
          <w:b w:val="0"/>
          <w:i/>
          <w:sz w:val="22"/>
          <w:u w:val="none"/>
          <w:szCs w:val="22"/>
        </w:rPr>
        <w:t xml:space="preserve"> Bodindecha (Sing Singhaseni) School, Bangkok, Thailand</w:t>
      </w:r>
    </w:p>
    <w:p>
      <w:pPr>
        <w:spacing w:after="0" w:before="0"/>
        <w:jc w:val="both"/>
      </w:pPr>
    </w:p>
    <w:p>
      <w:pPr>
        <w:spacing w:after="120" w:before="0"/>
        <w:jc w:val="both"/>
      </w:pP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Rationale: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Riceberry bran, a low-value by-product of Thai rice milling, contains anthocyanins, γ-oryzanol, vitamin E and phenolic acids. Anthocyanins from pigmented rice inhibit the starch-digesting enzymes α-glucosidase and α-amylase in vitro. Which constituent to extract and assay first is unresolved, as they have never been compared on the human enzymes.</w:t>
      </w: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 Objective: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To prioritise eleven reported Riceberry bran constituents by predicted binding to human maltase-glucoamylase (MGAM) and pancreatic α-amylase (HPA), alongside the solubility a food ingredient needs.</w:t>
      </w: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 Methods: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MGAM (PDB 2QMJ) and HPA (PDB 3BAJ) were prepared at pH 7.4; compounds were docked into the acarbose site with AutoDock Vina 1.2.7 (exhaustiveness 16, 3 seeds, 78 runs). Re-docking crystal acarbose validated the protocol. Contact residues and physicochemical properties were analysed.</w:t>
      </w: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 Results: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Re-docked acarbose reproduced its crystal pose (RMSD 2.04–2.06 Å; −7.81 kcal/mol on MGAM, −8.69 on HPA). γ-Oryzanol esters bound most tightly (cycloartenyl ferulate −8.87 ± 0.12 on MGAM, −10.52 ± 0.09 on HPA) but were strongly lipophilic (logP &gt; 10). Cyanidin-3-O-glucoside (−7.71 ± 0.02; −8.09 ± 0.02) and peonidin-3-O-glucoside (−7.64; −8.09) ranked next, hydrogen-bonded the catalytic acids of both enzymes (Asp443/Asp542 and Asp197/Glu233), and were the only high-ranking compounds that were water-soluble (logP &lt; 0.7).</w:t>
      </w: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 Conclusion: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Within this panel the anthocyanins combine high predicted binding with food-compatible solubility; the tightest binders do not. Docking ranks predicted binding only; potency and selectivity require assay confirmation.</w:t>
      </w: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 Application: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The ranking identifies the acidified aqueous, anthocyanin-rich fraction, not whole bran or the oil fraction, as the one to carry forward, and defines the two-enzyme IC50 comparison needed to test it.</w:t>
      </w:r>
    </w:p>
    <w:p>
      <w:pPr>
        <w:spacing w:after="40" w:before="0"/>
        <w:jc w:val="left"/>
      </w:pP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Keywords: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Riceberry bran, anthocyanin, γ-oryzanol, α-glucosidase, molecular docking</w:t>
      </w:r>
    </w:p>
    <w:p>
      <w:pPr>
        <w:spacing w:after="40" w:before="0"/>
        <w:jc w:val="left"/>
      </w:pPr>
      <w:r>
        <w:rPr>
          <w:rFonts w:ascii="Arial" w:hAnsi="Arial" w:cs="Arial" w:eastAsia="Arial"/>
          <w:b/>
          <w:i w:val="0"/>
          <w:sz w:val="22"/>
          <w:u w:val="none"/>
          <w:szCs w:val="22"/>
        </w:rPr>
        <w:t xml:space="preserve">*Corresponding author: </w:t>
      </w:r>
      <w:r>
        <w:rPr>
          <w:rFonts w:ascii="Arial" w:hAnsi="Arial" w:cs="Arial" w:eastAsia="Arial"/>
          <w:b w:val="0"/>
          <w:i w:val="0"/>
          <w:sz w:val="22"/>
          <w:u w:val="none"/>
          <w:szCs w:val="22"/>
        </w:rPr>
        <w:t>graciepiewppiew@gmail.com</w:t>
      </w:r>
    </w:p>
    <w:sectPr w:rsidR="00394080">
      <w:headerReference w:type="default" r:id="rId7"/>
      <w:footerReference w:type="default" r:id="rId8"/>
      <w:pgSz w:w="11900" w:h="16840"/>
      <w:pgMar w:top="1134" w:right="1134" w:bottom="709" w:left="1418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C84A55" w14:textId="77777777" w:rsidR="00B76EAA" w:rsidRDefault="00B76EAA">
      <w:r>
        <w:separator/>
      </w:r>
    </w:p>
  </w:endnote>
  <w:endnote w:type="continuationSeparator" w:id="0">
    <w:p w14:paraId="6C26A458" w14:textId="77777777" w:rsidR="00B76EAA" w:rsidRDefault="00B76E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B759097-9FBB-FC41-83D3-2385CDA3EB3A}"/>
    <w:embedBold r:id="rId2" w:fontKey="{B86D31B7-4D0D-ED42-8BA5-0C11982676A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B791628A-FDB9-8144-95D1-15B87D7C4703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D9BD7F4F-259F-1D45-BE09-A820695D1925}"/>
    <w:embedBold r:id="rId5" w:fontKey="{AA1C5419-B662-404D-845F-C8510D3B92AD}"/>
    <w:embedItalic r:id="rId6" w:fontKey="{98E3CD54-F7FC-7646-96FC-11C3098EB40C}"/>
    <w:embedBoldItalic r:id="rId7" w:fontKey="{836E86D2-C741-1041-9C22-5AF26E60D3CF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CF3C45CD-5D45-1049-BC3B-EA9A97485683}"/>
    <w:embedBold r:id="rId9" w:fontKey="{6AC9E70F-9626-5D42-8AF1-CA71EFAFE80A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  <w:embedBold r:id="rId14" w:fontKey="{23298609-A813-A045-A625-5DBA80C29340}"/>
    <w:embedBoldItalic r:id="rId15" w:fontKey="{55A63566-F262-AE43-B92E-8223C7F2E541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6" w:fontKey="{0E4E6119-9CDB-E44E-ACB5-89262BE72E8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7" w:fontKey="{7C72B7A8-6F7B-C24C-B5D7-044C4E3DA27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65678E" w14:textId="77777777" w:rsidR="0083535F" w:rsidRDefault="003013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49B65C86" wp14:editId="74086528">
          <wp:simplePos x="0" y="0"/>
          <wp:positionH relativeFrom="column">
            <wp:posOffset>-1021079</wp:posOffset>
          </wp:positionH>
          <wp:positionV relativeFrom="paragraph">
            <wp:posOffset>9004935</wp:posOffset>
          </wp:positionV>
          <wp:extent cx="8008620" cy="951230"/>
          <wp:effectExtent l="0" t="0" r="0" b="0"/>
          <wp:wrapSquare wrapText="bothSides" distT="0" distB="0" distL="114300" distR="114300"/>
          <wp:docPr id="2" name="image1.png" descr="ท้ายกำหนดการ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ท้ายกำหนดการ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0862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F92000" w14:textId="77777777" w:rsidR="00B76EAA" w:rsidRDefault="00B76EAA">
      <w:r>
        <w:separator/>
      </w:r>
    </w:p>
  </w:footnote>
  <w:footnote w:type="continuationSeparator" w:id="0">
    <w:p w14:paraId="3B3EDCA3" w14:textId="77777777" w:rsidR="00B76EAA" w:rsidRDefault="00B76E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E64391" w14:textId="77777777" w:rsidR="0083535F" w:rsidRDefault="00301341">
    <w:pPr>
      <w:widowControl/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lef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51FBE2C" wp14:editId="6DCF6DDB">
          <wp:simplePos x="0" y="0"/>
          <wp:positionH relativeFrom="column">
            <wp:posOffset>-907414</wp:posOffset>
          </wp:positionH>
          <wp:positionV relativeFrom="paragraph">
            <wp:posOffset>-529589</wp:posOffset>
          </wp:positionV>
          <wp:extent cx="7693660" cy="913130"/>
          <wp:effectExtent l="0" t="0" r="0" b="0"/>
          <wp:wrapSquare wrapText="bothSides" distT="0" distB="0" distL="114300" distR="114300"/>
          <wp:docPr id="1" name="image2.png" descr="หัวกำหนดการ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หัวกำหนดการ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93660" cy="9131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2E27BDE"/>
    <w:multiLevelType w:val="multilevel"/>
    <w:tmpl w:val="72CC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8862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535F"/>
    <w:rsid w:val="00301341"/>
    <w:rsid w:val="00394080"/>
    <w:rsid w:val="00431059"/>
    <w:rsid w:val="004C78B5"/>
    <w:rsid w:val="00517AD1"/>
    <w:rsid w:val="00724EF9"/>
    <w:rsid w:val="0083535F"/>
    <w:rsid w:val="00B76EAA"/>
    <w:rsid w:val="00C859B7"/>
    <w:rsid w:val="00D80C21"/>
    <w:rsid w:val="00D82F61"/>
    <w:rsid w:val="00E21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18CC6"/>
  <w15:docId w15:val="{2D7C2BD9-C10C-489D-B999-FDDF7CB22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th-TH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9B7"/>
    <w:rPr>
      <w:rFonts w:eastAsia="MS Mincho" w:cs="Angsana New"/>
      <w:kern w:val="2"/>
      <w:szCs w:val="24"/>
      <w:lang w:val="en-US" w:eastAsia="ja-JP"/>
    </w:rPr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rFonts w:ascii="Arial" w:eastAsia="Arial" w:hAnsi="Arial" w:cs="Arial"/>
      <w:kern w:val="0"/>
      <w:sz w:val="24"/>
      <w:lang w:val="en" w:eastAsia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widowControl/>
      <w:jc w:val="left"/>
      <w:outlineLvl w:val="1"/>
    </w:pPr>
    <w:rPr>
      <w:rFonts w:ascii="Arial" w:eastAsia="Arial" w:hAnsi="Arial" w:cs="Arial"/>
      <w:kern w:val="0"/>
      <w:szCs w:val="20"/>
      <w:u w:val="single"/>
      <w:lang w:val="en"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ind w:left="400"/>
      <w:outlineLvl w:val="2"/>
    </w:pPr>
    <w:rPr>
      <w:rFonts w:ascii="Arial" w:eastAsia="Arial" w:hAnsi="Arial" w:cs="Arial"/>
      <w:kern w:val="0"/>
      <w:szCs w:val="20"/>
      <w:lang w:val="en" w:eastAsia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400"/>
      <w:outlineLvl w:val="3"/>
    </w:pPr>
    <w:rPr>
      <w:rFonts w:eastAsia="Times New Roman" w:cs="Times New Roman"/>
      <w:b/>
      <w:bCs/>
      <w:kern w:val="0"/>
      <w:szCs w:val="20"/>
      <w:lang w:val="en" w:eastAsia="en-US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800"/>
      <w:outlineLvl w:val="4"/>
    </w:pPr>
    <w:rPr>
      <w:rFonts w:ascii="Arial" w:eastAsia="Arial" w:hAnsi="Arial" w:cs="Arial"/>
      <w:kern w:val="0"/>
      <w:szCs w:val="20"/>
      <w:lang w:val="en" w:eastAsia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800"/>
      <w:outlineLvl w:val="5"/>
    </w:pPr>
    <w:rPr>
      <w:rFonts w:eastAsia="Times New Roman" w:cs="Times New Roman"/>
      <w:b/>
      <w:bCs/>
      <w:kern w:val="0"/>
      <w:szCs w:val="20"/>
      <w:lang w:val="e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eastAsia="Times New Roman" w:cs="Times New Roman"/>
      <w:b/>
      <w:bCs/>
      <w:kern w:val="0"/>
      <w:sz w:val="28"/>
      <w:szCs w:val="28"/>
      <w:lang w:val="en" w:eastAsia="en-US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eastAsia="Times New Roman" w:cs="Times New Roman"/>
      <w:b/>
      <w:bCs/>
      <w:kern w:val="0"/>
      <w:sz w:val="22"/>
      <w:szCs w:val="22"/>
      <w:lang w:val="en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94080"/>
    <w:pPr>
      <w:tabs>
        <w:tab w:val="center" w:pos="4680"/>
        <w:tab w:val="right" w:pos="9360"/>
      </w:tabs>
    </w:pPr>
    <w:rPr>
      <w:rFonts w:eastAsia="Times New Roman"/>
      <w:kern w:val="0"/>
      <w:szCs w:val="25"/>
      <w:lang w:val="en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94080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394080"/>
    <w:pPr>
      <w:tabs>
        <w:tab w:val="center" w:pos="4680"/>
        <w:tab w:val="right" w:pos="9360"/>
      </w:tabs>
    </w:pPr>
    <w:rPr>
      <w:rFonts w:eastAsia="Times New Roman"/>
      <w:kern w:val="0"/>
      <w:szCs w:val="25"/>
      <w:lang w:val="en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94080"/>
    <w:rPr>
      <w:rFonts w:cs="Angsana New"/>
      <w:szCs w:val="25"/>
    </w:rPr>
  </w:style>
  <w:style w:type="paragraph" w:styleId="NormalWeb">
    <w:name w:val="Normal (Web)"/>
    <w:basedOn w:val="Normal"/>
    <w:uiPriority w:val="99"/>
    <w:semiHidden/>
    <w:unhideWhenUsed/>
    <w:rsid w:val="00394080"/>
    <w:pPr>
      <w:widowControl/>
      <w:spacing w:before="100" w:beforeAutospacing="1" w:after="100" w:afterAutospacing="1"/>
      <w:jc w:val="left"/>
    </w:pPr>
    <w:rPr>
      <w:rFonts w:eastAsia="Times New Roman" w:cs="Times New Roman"/>
      <w:kern w:val="0"/>
      <w:sz w:val="24"/>
      <w:lang w:eastAsia="en-US"/>
    </w:rPr>
  </w:style>
  <w:style w:type="character" w:styleId="Strong">
    <w:name w:val="Strong"/>
    <w:basedOn w:val="DefaultParagraphFont"/>
    <w:uiPriority w:val="22"/>
    <w:qFormat/>
    <w:rsid w:val="0039408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94080"/>
    <w:rPr>
      <w:rFonts w:ascii="Arial" w:eastAsia="Arial" w:hAnsi="Arial" w:cs="Arial"/>
    </w:rPr>
  </w:style>
  <w:style w:type="character" w:customStyle="1" w:styleId="TCN-Thaiabstract-ThaiTitleChar">
    <w:name w:val="TCN-Thai abstract-Thai Title Char"/>
    <w:link w:val="TCN-Thaiabstract-ThaiTitle"/>
    <w:locked/>
    <w:rsid w:val="00D80C21"/>
    <w:rPr>
      <w:rFonts w:ascii="Cordia New" w:eastAsia="MS Mincho" w:hAnsi="Cordia New" w:cs="Cordia New"/>
      <w:b/>
      <w:bCs/>
      <w:kern w:val="2"/>
      <w:sz w:val="36"/>
      <w:szCs w:val="36"/>
      <w:lang w:eastAsia="ja-JP"/>
    </w:rPr>
  </w:style>
  <w:style w:type="paragraph" w:customStyle="1" w:styleId="TCN-Thaiabstract-ThaiTitle">
    <w:name w:val="TCN-Thai abstract-Thai Title"/>
    <w:basedOn w:val="Normal"/>
    <w:link w:val="TCN-Thaiabstract-ThaiTitleChar"/>
    <w:qFormat/>
    <w:rsid w:val="00D80C21"/>
    <w:rPr>
      <w:rFonts w:ascii="Cordia New" w:hAnsi="Cordia New" w:cs="Cordia New"/>
      <w:b/>
      <w:bCs/>
      <w:sz w:val="36"/>
      <w:szCs w:val="36"/>
      <w:lang w:val="en"/>
    </w:rPr>
  </w:style>
  <w:style w:type="character" w:customStyle="1" w:styleId="TCN-Thaiabstract-EngTitleChar">
    <w:name w:val="TCN-Thai abstract-EngTitle Char"/>
    <w:link w:val="TCN-Thaiabstract-EngTitle"/>
    <w:locked/>
    <w:rsid w:val="00D80C21"/>
    <w:rPr>
      <w:rFonts w:ascii="Arial" w:eastAsia="MS Mincho" w:hAnsi="Arial" w:cs="Arial"/>
      <w:b/>
      <w:bCs/>
      <w:kern w:val="2"/>
      <w:sz w:val="24"/>
      <w:szCs w:val="24"/>
      <w:lang w:eastAsia="ja-JP"/>
    </w:rPr>
  </w:style>
  <w:style w:type="paragraph" w:customStyle="1" w:styleId="TCN-Thaiabstract-EngTitle">
    <w:name w:val="TCN-Thai abstract-EngTitle"/>
    <w:basedOn w:val="Normal"/>
    <w:link w:val="TCN-Thaiabstract-EngTitleChar"/>
    <w:qFormat/>
    <w:rsid w:val="00D80C21"/>
    <w:pPr>
      <w:jc w:val="left"/>
    </w:pPr>
    <w:rPr>
      <w:rFonts w:ascii="Arial" w:hAnsi="Arial" w:cs="Arial"/>
      <w:b/>
      <w:bCs/>
      <w:sz w:val="24"/>
      <w:lang w:val="en"/>
    </w:rPr>
  </w:style>
  <w:style w:type="character" w:customStyle="1" w:styleId="TCN-Thaiabstract-bodyChar">
    <w:name w:val="TCN-Thai abstract-body Char"/>
    <w:link w:val="TCN-Thaiabstract-body"/>
    <w:locked/>
    <w:rsid w:val="00D80C21"/>
    <w:rPr>
      <w:rFonts w:ascii="Cordia New" w:eastAsia="MS Mincho" w:hAnsi="Cordia New" w:cs="Cordia New"/>
      <w:kern w:val="2"/>
      <w:sz w:val="32"/>
      <w:szCs w:val="32"/>
      <w:lang w:eastAsia="ja-JP"/>
    </w:rPr>
  </w:style>
  <w:style w:type="paragraph" w:customStyle="1" w:styleId="TCN-Thaiabstract-body">
    <w:name w:val="TCN-Thai abstract-body"/>
    <w:basedOn w:val="Normal"/>
    <w:link w:val="TCN-Thaiabstract-bodyChar"/>
    <w:qFormat/>
    <w:rsid w:val="00D80C21"/>
    <w:rPr>
      <w:rFonts w:ascii="Cordia New" w:hAnsi="Cordia New" w:cs="Cordia New"/>
      <w:sz w:val="32"/>
      <w:szCs w:val="3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515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7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1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Punnee Ponprachanuvut</cp:lastModifiedBy>
  <cp:revision>4</cp:revision>
  <dcterms:created xsi:type="dcterms:W3CDTF">2026-10-18T06:08:00Z</dcterms:created>
  <dcterms:modified xsi:type="dcterms:W3CDTF">2026-10-18T06:12:00Z</dcterms:modified>
</cp:coreProperties>
</file>