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/>
          <w:sz w:val="44"/>
        </w:rPr>
        <w:t>เอกสารอ้างอิงและที่มาของข้อมูลทุกตัวเลข</w:t>
      </w:r>
    </w:p>
    <w:p>
      <w:pPr>
        <w:jc w:val="center"/>
      </w:pPr>
      <w:r>
        <w:rPr>
          <w:i/>
        </w:rPr>
        <w:t>Riceberry bran docking study — sources and reproducibility</w:t>
      </w:r>
    </w:p>
    <w:p>
      <w:pPr>
        <w:spacing w:before="240" w:after="80"/>
      </w:pPr>
      <w:r>
        <w:rPr>
          <w:rFonts w:ascii="TH Sarabun New" w:hAnsi="TH Sarabun New" w:cs="TH Sarabun New"/>
          <w:b/>
          <w:sz w:val="36"/>
        </w:rPr>
        <w:t>1. โครงสร้างโปรตีน (Protein Data Bank)</w:t>
      </w:r>
    </w:p>
    <w:p>
      <w:pPr>
        <w:spacing w:after="100"/>
        <w:ind w:left="397" w:hanging="397"/>
      </w:pPr>
      <w:r>
        <w:rPr>
          <w:b/>
        </w:rPr>
        <w:t xml:space="preserve">2QMJ  </w:t>
      </w:r>
      <w:r>
        <w:t>Human intestinal maltase-glucoamylase, N-terminal catalytic subunit, with acarbose. 1.9 Å. Sim L, Quezada-Calvillo R, Sterchi EE, Nichols BL, Rose DR. J Mol Biol. 2008;375:782.</w:t>
      </w:r>
      <w:r>
        <w:rPr>
          <w:i/>
        </w:rPr>
        <w:t xml:space="preserve">  https://www.rcsb.org/structure/2QMJ</w:t>
      </w:r>
    </w:p>
    <w:p>
      <w:pPr>
        <w:spacing w:after="100"/>
        <w:ind w:left="397" w:hanging="397"/>
      </w:pPr>
      <w:r>
        <w:rPr>
          <w:b/>
        </w:rPr>
        <w:t xml:space="preserve">3BAJ  </w:t>
      </w:r>
      <w:r>
        <w:t>Human pancreatic α-amylase with nitrate and acarbose. 2.1 Å. Maurus R, Begum A, Williams LK, Fredriksen JR, Zhang R, Withers SG. Biochemistry. 2008;47:3332.</w:t>
      </w:r>
      <w:r>
        <w:rPr>
          <w:i/>
        </w:rPr>
        <w:t xml:space="preserve">  https://www.rcsb.org/structure/3BAJ</w:t>
      </w:r>
    </w:p>
    <w:p>
      <w:pPr>
        <w:spacing w:before="240" w:after="80"/>
      </w:pPr>
      <w:r>
        <w:rPr>
          <w:rFonts w:ascii="TH Sarabun New" w:hAnsi="TH Sarabun New" w:cs="TH Sarabun New"/>
          <w:b/>
          <w:sz w:val="36"/>
        </w:rPr>
        <w:t>2. ซอฟต์แวร์และเวอร์ชัน</w:t>
      </w:r>
    </w:p>
    <w:p>
      <w:pPr>
        <w:spacing w:after="100"/>
        <w:ind w:left="397" w:hanging="397"/>
      </w:pPr>
      <w:r>
        <w:rPr>
          <w:b/>
        </w:rPr>
        <w:t xml:space="preserve">AutoDock Vina 1.2.7  </w:t>
      </w:r>
      <w:r>
        <w:t>Docking engine. Built from source on this machine. Eberhardt J, Santos-Martins D, Tillack AF, Forli S. J Chem Inf Model. 2021;61:3891. · Trott O, Olson AJ. J Comput Chem. 2010;31:455.</w:t>
      </w:r>
    </w:p>
    <w:p>
      <w:pPr>
        <w:spacing w:after="100"/>
        <w:ind w:left="397" w:hanging="397"/>
      </w:pPr>
      <w:r>
        <w:rPr>
          <w:b/>
        </w:rPr>
        <w:t xml:space="preserve">Meeko 0.8.0  </w:t>
      </w:r>
      <w:r>
        <w:t>Receptor and ligand PDBQT preparation. Forli Lab, Scripps Research. https://github.com/forlilab/Meeko</w:t>
      </w:r>
    </w:p>
    <w:p>
      <w:pPr>
        <w:spacing w:after="100"/>
        <w:ind w:left="397" w:hanging="397"/>
      </w:pPr>
      <w:r>
        <w:rPr>
          <w:b/>
        </w:rPr>
        <w:t xml:space="preserve">RDKit 2026.09.1  </w:t>
      </w:r>
      <w:r>
        <w:t>3D embedding (ETKDG), MMFF94 optimisation, descriptors. https://www.rdkit.org</w:t>
      </w:r>
    </w:p>
    <w:p>
      <w:pPr>
        <w:spacing w:after="100"/>
        <w:ind w:left="397" w:hanging="397"/>
      </w:pPr>
      <w:r>
        <w:rPr>
          <w:b/>
        </w:rPr>
        <w:t xml:space="preserve">PDBFixer / OpenMM  </w:t>
      </w:r>
      <w:r>
        <w:t>Missing atoms and hydrogens added at pH 7.4. Eastman P, et al. PLoS Comput Biol. 2017;13:e1005659.</w:t>
      </w:r>
    </w:p>
    <w:p>
      <w:pPr>
        <w:spacing w:after="100"/>
        <w:ind w:left="397" w:hanging="397"/>
      </w:pPr>
      <w:r>
        <w:rPr>
          <w:b/>
        </w:rPr>
        <w:t xml:space="preserve">PubChem  </w:t>
      </w:r>
      <w:r>
        <w:t>Source of all ligand structures (CIDs listed below). Kim S, et al. Nucleic Acids Res. 2023;51:D1373.</w:t>
      </w:r>
    </w:p>
    <w:p>
      <w:pPr>
        <w:spacing w:before="240" w:after="80"/>
      </w:pPr>
      <w:r>
        <w:rPr>
          <w:rFonts w:ascii="TH Sarabun New" w:hAnsi="TH Sarabun New" w:cs="TH Sarabun New"/>
          <w:b/>
          <w:sz w:val="36"/>
        </w:rPr>
        <w:t>3. สารที่ใช้ทดสอบ — PubChem CID (ตรวจสอบย้อนได้ทุกตัว)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A93A8"/>
          <w:left w:val="single" w:sz="4" w:color="8A93A8"/>
          <w:bottom w:val="single" w:sz="4" w:color="8A93A8"/>
          <w:right w:val="single" w:sz="4" w:color="8A93A8"/>
          <w:insideH w:val="single" w:sz="4" w:color="8A93A8"/>
          <w:insideV w:val="single" w:sz="4" w:color="8A93A8"/>
        </w:tblBorders>
      </w:tblPr>
      <w:tblGrid>
        <w:gridCol w:w="3135"/>
        <w:gridCol w:w="3135"/>
        <w:gridCol w:w="3135"/>
      </w:tblGrid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/>
                <w:sz w:val="28"/>
              </w:rPr>
              <w:t>สาร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28"/>
              </w:rPr>
              <w:t>PubChem CID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28"/>
              </w:rPr>
              <w:t>สูตรโมเลกุล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acarbose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41774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C25H43NO18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cyanidin-3-O-glucoside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441667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C21H21O11+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peonidin-3-O-glucoside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14311152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C22H23ClO11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protocatechuic acid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72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C7H6O4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ferulic acid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445858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C10H10O4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p-coumaric acid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637542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C9H8O3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vanillic acid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8468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C8H8O4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cycloartenyl ferulate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5282164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C40H58O4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24-methylenecycloartanyl ferulate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9920169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C41H60O4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gamma-tocotrienol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5282349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C28H42O2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alpha-tocopherol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14985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C29H50O2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quercetin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5280343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C15H10O7</w:t>
            </w:r>
          </w:p>
        </w:tc>
      </w:tr>
    </w:tbl>
    <w:p/>
    <w:p>
      <w:pPr>
        <w:spacing w:before="240" w:after="80"/>
      </w:pPr>
      <w:r>
        <w:rPr>
          <w:rFonts w:ascii="TH Sarabun New" w:hAnsi="TH Sarabun New" w:cs="TH Sarabun New"/>
          <w:b/>
          <w:sz w:val="36"/>
        </w:rPr>
        <w:t>4. งานวิจัยที่อ้างอิง</w:t>
      </w:r>
    </w:p>
    <w:p>
      <w:pPr>
        <w:spacing w:after="100"/>
        <w:ind w:left="397" w:hanging="397"/>
      </w:pPr>
      <w:r>
        <w:rPr>
          <w:b/>
        </w:rPr>
        <w:t xml:space="preserve">Anthocyanins from pigmented rice inhibit both enzymes in vitro.  </w:t>
      </w:r>
      <w:r>
        <w:t>Akkarachiyasit S, Charoenlertkul P, Yibchok-anun S, Adisakwattana S. Int J Mol Sci. 2010;11:3387. Chulalongkorn University. Cyanidin-3-glucoside IC50 0.97 mM (intestinal sucrase) and 0.30 mM (pancreatic α-amylase); synergy with low-dose acarbose.</w:t>
      </w:r>
      <w:r>
        <w:rPr>
          <w:i/>
        </w:rPr>
        <w:t xml:space="preserve">  https://pmc.ncbi.nlm.nih.gov/articles/PMC2956102/</w:t>
      </w:r>
    </w:p>
    <w:p>
      <w:pPr>
        <w:spacing w:after="100"/>
        <w:ind w:left="397" w:hanging="397"/>
      </w:pPr>
      <w:r>
        <w:rPr>
          <w:b/>
        </w:rPr>
        <w:t xml:space="preserve">Acarbose causes gastrointestinal effects.  </w:t>
      </w:r>
      <w:r>
        <w:t>US prescribing information, placebo-controlled trials: flatulence reported in 74% of 1,255 acarbose-treated patients versus 29% of 999 on placebo; diarrhoea 31%, abdominal pain 19%.</w:t>
      </w:r>
      <w:r>
        <w:rPr>
          <w:i/>
        </w:rPr>
        <w:t xml:space="preserve">  https://www.accessdata.fda.gov/drugsatfda_docs/label/2011/020482s023lbl.pdf</w:t>
      </w:r>
    </w:p>
    <w:p>
      <w:pPr>
        <w:spacing w:after="100"/>
        <w:ind w:left="397" w:hanging="397"/>
      </w:pPr>
      <w:r>
        <w:rPr>
          <w:b/>
        </w:rPr>
        <w:t xml:space="preserve">Rice bran is a low-value, rapidly spoiling by-product.  </w:t>
      </w:r>
      <w:r>
        <w:t>Endogenous lipase hydrolyses the oil within hours of milling, so most bran goes to animal feed. Fat content ~18–21%. Reviews of rice bran stabilisation.</w:t>
      </w:r>
      <w:r>
        <w:rPr>
          <w:i/>
        </w:rPr>
        <w:t xml:space="preserve">  https://pmc.ncbi.nlm.nih.gov/articles/PMC10462582/</w:t>
      </w:r>
    </w:p>
    <w:p>
      <w:pPr>
        <w:spacing w:after="100"/>
        <w:ind w:left="397" w:hanging="397"/>
      </w:pPr>
      <w:r>
        <w:rPr>
          <w:b/>
        </w:rPr>
        <w:t xml:space="preserve">Riceberry is a cross of Hom Nil and Khao Dawk Mali 105.  </w:t>
      </w:r>
      <w:r>
        <w:t>Rice Science Center, Kasetsart University.</w:t>
      </w:r>
      <w:r>
        <w:rPr>
          <w:i/>
        </w:rPr>
        <w:t xml:space="preserve">  https://dna.kps.ku.ac.th/</w:t>
      </w:r>
    </w:p>
    <w:p>
      <w:pPr>
        <w:spacing w:after="100"/>
        <w:ind w:left="397" w:hanging="397"/>
      </w:pPr>
      <w:r>
        <w:rPr>
          <w:b/>
        </w:rPr>
        <w:t xml:space="preserve">Docking scores predict binding, not inhibitory potency.  </w:t>
      </w:r>
      <w:r>
        <w:t>Standard limitation of empirical scoring functions; typical Vina scoring error is of the order of 1–2 kcal/mol. Stated explicitly in the abstract and on the poster.</w:t>
      </w:r>
      <w:r>
        <w:rPr>
          <w:i/>
        </w:rPr>
        <w:t xml:space="preserve">  Trott O, Olson AJ. J Comput Chem. 2010;31:455.</w:t>
      </w:r>
    </w:p>
    <w:p>
      <w:pPr>
        <w:spacing w:before="240" w:after="80"/>
      </w:pPr>
      <w:r>
        <w:rPr>
          <w:rFonts w:ascii="TH Sarabun New" w:hAnsi="TH Sarabun New" w:cs="TH Sarabun New"/>
          <w:b/>
          <w:sz w:val="36"/>
        </w:rPr>
        <w:t>5. ตัวเลขที่เป็นผลการคำนวณของโครงงานนี้เอง</w:t>
      </w:r>
    </w:p>
    <w:p>
      <w:r>
        <w:t>ตัวเลขทุกค่าด้านล่างมาจากการคำนวณบนเครื่องของเราเอง ไม่ได้คัดลอกจากงานใด และรันซ้ำได้ด้วยสคริปต์ในโฟลเดอร์ scripts/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A93A8"/>
          <w:left w:val="single" w:sz="4" w:color="8A93A8"/>
          <w:bottom w:val="single" w:sz="4" w:color="8A93A8"/>
          <w:right w:val="single" w:sz="4" w:color="8A93A8"/>
          <w:insideH w:val="single" w:sz="4" w:color="8A93A8"/>
          <w:insideV w:val="single" w:sz="4" w:color="8A93A8"/>
        </w:tblBorders>
      </w:tblPr>
      <w:tblGrid>
        <w:gridCol w:w="3135"/>
        <w:gridCol w:w="3135"/>
        <w:gridCol w:w="3135"/>
      </w:tblGrid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b/>
                <w:sz w:val="28"/>
              </w:rPr>
              <w:t>ค่าที่รายงาน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28"/>
              </w:rPr>
              <w:t>ค่า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28"/>
              </w:rPr>
              <w:t>ไฟล์ที่เก็บผลดิบ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Redock RMSD ของอะคาร์โบสบน MGAM (3 seed)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2.04 / 2.06 / 2.06 Å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redock.json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สัดส่วนอะตอมอะคาร์โบสที่ซ้อนทับผลึก HPA ภายใน 2 Å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86%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summary.json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พลังงานการจับ cycloartenyl ferulate (MGAM / HPA)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-8.87 ± 0.12 / -10.52 ± 0.09 kcal/mol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dock_results.json, summary.json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พลังงานการจับ cyanidin-3-O-glucoside (MGAM / HPA)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-7.71 ± 0.02 / -8.09 ± 0.02 kcal/mol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dock_results.json, summary.json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พลังงานการจับ peonidin-3-O-glucoside (MGAM / HPA)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-7.64 ± 0.01 / -8.09 ± 0.01 kcal/mol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dock_results.json, summary.json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พลังงานการจับ acarbose (MGAM / HPA)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-6.06 ± 0.01 / -8.69 ± 0.01 kcal/mol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dock_results.json, summary.json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ค่า logP, MW, Lipinski, Veber ของทุกสาร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ดูตารางในโปสเตอร์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8"/>
              </w:rPr>
              <w:t>summary.json (คำนวณด้วย RDKit)</w:t>
            </w:r>
          </w:p>
        </w:tc>
      </w:tr>
    </w:tbl>
    <w:p/>
    <w:p>
      <w:pPr>
        <w:spacing w:before="240" w:after="80"/>
      </w:pPr>
      <w:r>
        <w:rPr>
          <w:rFonts w:ascii="TH Sarabun New" w:hAnsi="TH Sarabun New" w:cs="TH Sarabun New"/>
          <w:b/>
          <w:sz w:val="36"/>
        </w:rPr>
        <w:t>6. การทำซ้ำ (reproducibility)</w:t>
      </w:r>
    </w:p>
    <w:p>
      <w:pPr>
        <w:spacing w:after="40"/>
        <w:ind w:left="454"/>
      </w:pPr>
      <w:r>
        <w:t>•  scripts/prep.py — ดาวน์โหลดและเตรียมโปรตีนกับสาร</w:t>
      </w:r>
    </w:p>
    <w:p>
      <w:pPr>
        <w:spacing w:after="40"/>
        <w:ind w:left="454"/>
      </w:pPr>
      <w:r>
        <w:t>•  scripts/dock.py — docking 2 เอนไซม์ × 12 สาร × 3 seed = 72 รอบ</w:t>
      </w:r>
    </w:p>
    <w:p>
      <w:pPr>
        <w:spacing w:after="40"/>
        <w:ind w:left="454"/>
      </w:pPr>
      <w:r>
        <w:t>•  scripts/redock.py — ตรวจสอบความถูกต้องด้วยการ re-dock อะคาร์โบสจากผลึก 3 รอบ</w:t>
      </w:r>
    </w:p>
    <w:p>
      <w:pPr>
        <w:spacing w:after="40"/>
        <w:ind w:left="454"/>
      </w:pPr>
      <w:r>
        <w:t>•  scripts/analyze.py — สรุปผล ค่าเฉลี่ย ± SD กรดอะมิโนที่สัมผัส และสมบัติทางเคมี</w:t>
      </w:r>
    </w:p>
    <w:p>
      <w:pPr>
        <w:spacing w:after="40"/>
        <w:ind w:left="454"/>
      </w:pPr>
      <w:r>
        <w:t>•  scripts/figures.py, build_poster.py, gen_docx.py — สร้างรูป โปสเตอร์ และบทคัดย่อ</w:t>
      </w:r>
    </w:p>
    <w:p>
      <w:pPr>
        <w:spacing w:before="240" w:after="80"/>
      </w:pPr>
      <w:r>
        <w:rPr>
          <w:rFonts w:ascii="TH Sarabun New" w:hAnsi="TH Sarabun New" w:cs="TH Sarabun New"/>
          <w:b/>
          <w:sz w:val="36"/>
        </w:rPr>
        <w:t>7. ข้อจำกัดที่ระบุไว้ในผลงาน</w:t>
      </w:r>
    </w:p>
    <w:p>
      <w:pPr>
        <w:spacing w:after="40"/>
        <w:ind w:left="454"/>
      </w:pPr>
      <w:r>
        <w:t>•  ค่า docking เป็นการทำนายการจับ ไม่ใช่ค่าความแรงในการยับยั้ง (IC50) จึงไม่สรุปว่าสารใดยับยั้งได้แรงกว่ากัน</w:t>
      </w:r>
    </w:p>
    <w:p>
      <w:pPr>
        <w:spacing w:after="40"/>
        <w:ind w:left="454"/>
      </w:pPr>
      <w:r>
        <w:t>•  ค่า SD ที่ต่ำบอกว่าโปรแกรมให้ผลซ้ำได้ ไม่ได้บอกว่าค่านั้นถูกต้อง</w:t>
      </w:r>
    </w:p>
    <w:p>
      <w:pPr>
        <w:spacing w:after="40"/>
        <w:ind w:left="454"/>
      </w:pPr>
      <w:r>
        <w:t>•  Redock RMSD 2.04–2.06 Å อยู่ที่ขอบเกณฑ์ 2 Å ที่ใช้กันทั่วไป รายงานตามจริง</w:t>
      </w:r>
    </w:p>
    <w:p>
      <w:pPr>
        <w:spacing w:after="40"/>
        <w:ind w:left="454"/>
      </w:pPr>
      <w:r>
        <w:t>•  ยังไม่มีการทดสอบในหลอดทดลอง และไม่มีการกล่าวอ้างสรรพคุณทางสุขภาพ</w:t>
      </w:r>
    </w:p>
    <w:sectPr w:rsidR="00394080">
      <w:headerReference w:type="default" r:id="rId7"/>
      <w:footerReference w:type="default" r:id="rId8"/>
      <w:pgSz w:w="11900" w:h="16840"/>
      <w:pgMar w:top="1134" w:right="1247" w:bottom="1134" w:left="124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C84A55" w14:textId="77777777" w:rsidR="00B76EAA" w:rsidRDefault="00B76EAA">
      <w:r>
        <w:separator/>
      </w:r>
    </w:p>
  </w:endnote>
  <w:endnote w:type="continuationSeparator" w:id="0">
    <w:p w14:paraId="6C26A458" w14:textId="77777777" w:rsidR="00B76EAA" w:rsidRDefault="00B76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B759097-9FBB-FC41-83D3-2385CDA3EB3A}"/>
    <w:embedBold r:id="rId2" w:fontKey="{B86D31B7-4D0D-ED42-8BA5-0C11982676A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B791628A-FDB9-8144-95D1-15B87D7C470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D9BD7F4F-259F-1D45-BE09-A820695D1925}"/>
    <w:embedBold r:id="rId5" w:fontKey="{AA1C5419-B662-404D-845F-C8510D3B92AD}"/>
    <w:embedItalic r:id="rId6" w:fontKey="{98E3CD54-F7FC-7646-96FC-11C3098EB40C}"/>
    <w:embedBoldItalic r:id="rId7" w:fontKey="{836E86D2-C741-1041-9C22-5AF26E60D3C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CF3C45CD-5D45-1049-BC3B-EA9A97485683}"/>
    <w:embedBold r:id="rId9" w:fontKey="{6AC9E70F-9626-5D42-8AF1-CA71EFAFE80A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  <w:embedBold r:id="rId14" w:fontKey="{23298609-A813-A045-A625-5DBA80C29340}"/>
    <w:embedBoldItalic r:id="rId15" w:fontKey="{55A63566-F262-AE43-B92E-8223C7F2E54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0E4E6119-9CDB-E44E-ACB5-89262BE72E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7C72B7A8-6F7B-C24C-B5D7-044C4E3DA2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5678E" w14:textId="77777777" w:rsidR="0083535F" w:rsidRDefault="003013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9B65C86" wp14:editId="74086528">
          <wp:simplePos x="0" y="0"/>
          <wp:positionH relativeFrom="column">
            <wp:posOffset>-1021079</wp:posOffset>
          </wp:positionH>
          <wp:positionV relativeFrom="paragraph">
            <wp:posOffset>9004935</wp:posOffset>
          </wp:positionV>
          <wp:extent cx="8008620" cy="951230"/>
          <wp:effectExtent l="0" t="0" r="0" b="0"/>
          <wp:wrapSquare wrapText="bothSides" distT="0" distB="0" distL="114300" distR="114300"/>
          <wp:docPr id="2" name="image1.png" descr="ท้ายกำหนดการ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ท้ายกำหนดการ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862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F92000" w14:textId="77777777" w:rsidR="00B76EAA" w:rsidRDefault="00B76EAA">
      <w:r>
        <w:separator/>
      </w:r>
    </w:p>
  </w:footnote>
  <w:footnote w:type="continuationSeparator" w:id="0">
    <w:p w14:paraId="3B3EDCA3" w14:textId="77777777" w:rsidR="00B76EAA" w:rsidRDefault="00B76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64391" w14:textId="77777777" w:rsidR="0083535F" w:rsidRDefault="00301341">
    <w:pPr>
      <w:widowControl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1FBE2C" wp14:editId="6DCF6DDB">
          <wp:simplePos x="0" y="0"/>
          <wp:positionH relativeFrom="column">
            <wp:posOffset>-907414</wp:posOffset>
          </wp:positionH>
          <wp:positionV relativeFrom="paragraph">
            <wp:posOffset>-529589</wp:posOffset>
          </wp:positionV>
          <wp:extent cx="7693660" cy="913130"/>
          <wp:effectExtent l="0" t="0" r="0" b="0"/>
          <wp:wrapSquare wrapText="bothSides" distT="0" distB="0" distL="114300" distR="114300"/>
          <wp:docPr id="1" name="image2.png" descr="หัวกำหนดการ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หัวกำหนดการ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3660" cy="913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E27BDE"/>
    <w:multiLevelType w:val="multilevel"/>
    <w:tmpl w:val="72C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862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35F"/>
    <w:rsid w:val="00301341"/>
    <w:rsid w:val="00394080"/>
    <w:rsid w:val="00431059"/>
    <w:rsid w:val="004C78B5"/>
    <w:rsid w:val="00517AD1"/>
    <w:rsid w:val="00724EF9"/>
    <w:rsid w:val="0083535F"/>
    <w:rsid w:val="00B76EAA"/>
    <w:rsid w:val="00C859B7"/>
    <w:rsid w:val="00D80C21"/>
    <w:rsid w:val="00D82F61"/>
    <w:rsid w:val="00E2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8CC6"/>
  <w15:docId w15:val="{2D7C2BD9-C10C-489D-B999-FDDF7CB2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th-TH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9B7"/>
    <w:rPr>
      <w:rFonts w:eastAsia="TH Sarabun New" w:cs="TH Sarabun New" w:ascii="TH Sarabun New" w:hAnsi="TH Sarabun New"/>
      <w:kern w:val="2"/>
      <w:sz w:val="30"/>
      <w:szCs w:val="24"/>
      <w:lang w:val="en-US" w:eastAsia="ja-JP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kern w:val="0"/>
      <w:sz w:val="24"/>
      <w:lang w:val="en"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/>
      <w:jc w:val="left"/>
      <w:outlineLvl w:val="1"/>
    </w:pPr>
    <w:rPr>
      <w:rFonts w:ascii="Arial" w:eastAsia="Arial" w:hAnsi="Arial" w:cs="Arial"/>
      <w:kern w:val="0"/>
      <w:szCs w:val="20"/>
      <w:u w:val="single"/>
      <w:lang w:val="en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ind w:left="400"/>
      <w:outlineLvl w:val="2"/>
    </w:pPr>
    <w:rPr>
      <w:rFonts w:ascii="Arial" w:eastAsia="Arial" w:hAnsi="Arial" w:cs="Arial"/>
      <w:kern w:val="0"/>
      <w:szCs w:val="20"/>
      <w:lang w:val="en"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400"/>
      <w:outlineLvl w:val="3"/>
    </w:pPr>
    <w:rPr>
      <w:rFonts w:eastAsia="Times New Roman" w:cs="Times New Roman"/>
      <w:b/>
      <w:bCs/>
      <w:kern w:val="0"/>
      <w:szCs w:val="20"/>
      <w:lang w:val="en"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800"/>
      <w:outlineLvl w:val="4"/>
    </w:pPr>
    <w:rPr>
      <w:rFonts w:ascii="Arial" w:eastAsia="Arial" w:hAnsi="Arial" w:cs="Arial"/>
      <w:kern w:val="0"/>
      <w:szCs w:val="20"/>
      <w:lang w:val="en"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800"/>
      <w:outlineLvl w:val="5"/>
    </w:pPr>
    <w:rPr>
      <w:rFonts w:eastAsia="Times New Roman" w:cs="Times New Roman"/>
      <w:b/>
      <w:bCs/>
      <w:kern w:val="0"/>
      <w:szCs w:val="20"/>
      <w:lang w:val="e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eastAsia="Times New Roman" w:cs="Times New Roman"/>
      <w:b/>
      <w:bCs/>
      <w:kern w:val="0"/>
      <w:sz w:val="28"/>
      <w:szCs w:val="28"/>
      <w:lang w:val="en" w:eastAsia="en-US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eastAsia="Times New Roman" w:cs="Times New Roman"/>
      <w:b/>
      <w:bCs/>
      <w:kern w:val="0"/>
      <w:sz w:val="22"/>
      <w:szCs w:val="22"/>
      <w:lang w:val="en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94080"/>
    <w:pPr>
      <w:tabs>
        <w:tab w:val="center" w:pos="4680"/>
        <w:tab w:val="right" w:pos="9360"/>
      </w:tabs>
    </w:pPr>
    <w:rPr>
      <w:rFonts w:eastAsia="Times New Roman"/>
      <w:kern w:val="0"/>
      <w:szCs w:val="25"/>
      <w:lang w:val="e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94080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94080"/>
    <w:pPr>
      <w:tabs>
        <w:tab w:val="center" w:pos="4680"/>
        <w:tab w:val="right" w:pos="9360"/>
      </w:tabs>
    </w:pPr>
    <w:rPr>
      <w:rFonts w:eastAsia="Times New Roman"/>
      <w:kern w:val="0"/>
      <w:szCs w:val="25"/>
      <w:lang w:val="e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94080"/>
    <w:rPr>
      <w:rFonts w:cs="Angsana New"/>
      <w:szCs w:val="25"/>
    </w:rPr>
  </w:style>
  <w:style w:type="paragraph" w:styleId="NormalWeb">
    <w:name w:val="Normal (Web)"/>
    <w:basedOn w:val="Normal"/>
    <w:uiPriority w:val="99"/>
    <w:semiHidden/>
    <w:unhideWhenUsed/>
    <w:rsid w:val="00394080"/>
    <w:pPr>
      <w:widowControl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en-US"/>
    </w:rPr>
  </w:style>
  <w:style w:type="character" w:styleId="Strong">
    <w:name w:val="Strong"/>
    <w:basedOn w:val="DefaultParagraphFont"/>
    <w:uiPriority w:val="22"/>
    <w:qFormat/>
    <w:rsid w:val="0039408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94080"/>
    <w:rPr>
      <w:rFonts w:ascii="Arial" w:eastAsia="Arial" w:hAnsi="Arial" w:cs="Arial"/>
    </w:rPr>
  </w:style>
  <w:style w:type="character" w:customStyle="1" w:styleId="TCN-Thaiabstract-ThaiTitleChar">
    <w:name w:val="TCN-Thai abstract-Thai Title Char"/>
    <w:link w:val="TCN-Thaiabstract-ThaiTitle"/>
    <w:locked/>
    <w:rsid w:val="00D80C21"/>
    <w:rPr>
      <w:rFonts w:ascii="Cordia New" w:eastAsia="MS Mincho" w:hAnsi="Cordia New" w:cs="Cordia New"/>
      <w:b/>
      <w:bCs/>
      <w:kern w:val="2"/>
      <w:sz w:val="36"/>
      <w:szCs w:val="36"/>
      <w:lang w:eastAsia="ja-JP"/>
    </w:rPr>
  </w:style>
  <w:style w:type="paragraph" w:customStyle="1" w:styleId="TCN-Thaiabstract-ThaiTitle">
    <w:name w:val="TCN-Thai abstract-Thai Title"/>
    <w:basedOn w:val="Normal"/>
    <w:link w:val="TCN-Thaiabstract-ThaiTitleChar"/>
    <w:qFormat/>
    <w:rsid w:val="00D80C21"/>
    <w:rPr>
      <w:rFonts w:ascii="Cordia New" w:hAnsi="Cordia New" w:cs="Cordia New"/>
      <w:b/>
      <w:bCs/>
      <w:sz w:val="36"/>
      <w:szCs w:val="36"/>
      <w:lang w:val="en"/>
    </w:rPr>
  </w:style>
  <w:style w:type="character" w:customStyle="1" w:styleId="TCN-Thaiabstract-EngTitleChar">
    <w:name w:val="TCN-Thai abstract-EngTitle Char"/>
    <w:link w:val="TCN-Thaiabstract-EngTitle"/>
    <w:locked/>
    <w:rsid w:val="00D80C21"/>
    <w:rPr>
      <w:rFonts w:ascii="Arial" w:eastAsia="MS Mincho" w:hAnsi="Arial" w:cs="Arial"/>
      <w:b/>
      <w:bCs/>
      <w:kern w:val="2"/>
      <w:sz w:val="24"/>
      <w:szCs w:val="24"/>
      <w:lang w:eastAsia="ja-JP"/>
    </w:rPr>
  </w:style>
  <w:style w:type="paragraph" w:customStyle="1" w:styleId="TCN-Thaiabstract-EngTitle">
    <w:name w:val="TCN-Thai abstract-EngTitle"/>
    <w:basedOn w:val="Normal"/>
    <w:link w:val="TCN-Thaiabstract-EngTitleChar"/>
    <w:qFormat/>
    <w:rsid w:val="00D80C21"/>
    <w:pPr>
      <w:jc w:val="left"/>
    </w:pPr>
    <w:rPr>
      <w:rFonts w:ascii="Arial" w:hAnsi="Arial" w:cs="Arial"/>
      <w:b/>
      <w:bCs/>
      <w:sz w:val="24"/>
      <w:lang w:val="en"/>
    </w:rPr>
  </w:style>
  <w:style w:type="character" w:customStyle="1" w:styleId="TCN-Thaiabstract-bodyChar">
    <w:name w:val="TCN-Thai abstract-body Char"/>
    <w:link w:val="TCN-Thaiabstract-body"/>
    <w:locked/>
    <w:rsid w:val="00D80C21"/>
    <w:rPr>
      <w:rFonts w:ascii="Cordia New" w:eastAsia="MS Mincho" w:hAnsi="Cordia New" w:cs="Cordia New"/>
      <w:kern w:val="2"/>
      <w:sz w:val="32"/>
      <w:szCs w:val="32"/>
      <w:lang w:eastAsia="ja-JP"/>
    </w:rPr>
  </w:style>
  <w:style w:type="paragraph" w:customStyle="1" w:styleId="TCN-Thaiabstract-body">
    <w:name w:val="TCN-Thai abstract-body"/>
    <w:basedOn w:val="Normal"/>
    <w:link w:val="TCN-Thaiabstract-bodyChar"/>
    <w:qFormat/>
    <w:rsid w:val="00D80C21"/>
    <w:rPr>
      <w:rFonts w:ascii="Cordia New" w:hAnsi="Cordia New" w:cs="Cordia New"/>
      <w:sz w:val="32"/>
      <w:szCs w:val="3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Punnee Ponprachanuvut</cp:lastModifiedBy>
  <cp:revision>4</cp:revision>
  <dcterms:created xsi:type="dcterms:W3CDTF">2026-10-18T06:08:00Z</dcterms:created>
  <dcterms:modified xsi:type="dcterms:W3CDTF">2026-10-18T06:12:00Z</dcterms:modified>
</cp:coreProperties>
</file>