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spacing w:after="0" w:before="0"/>
        <w:jc w:val="center"/>
      </w:pPr>
      <w:r>
        <w:rPr>
          <w:rFonts w:ascii="Arial" w:hAnsi="Arial" w:cs="Arial" w:eastAsia="Arial"/>
          <w:b w:val="0"/>
          <w:i w:val="0"/>
          <w:sz w:val="32"/>
          <w:u w:val="none"/>
          <w:szCs w:val="32"/>
        </w:rPr>
      </w:r>
    </w:p>
    <w:p>
      <w:pPr>
        <w:spacing w:after="0" w:before="0"/>
        <w:jc w:val="center"/>
      </w:pPr>
      <w:r>
        <w:rPr>
          <w:rFonts w:ascii="Arial" w:hAnsi="Arial" w:cs="Arial" w:eastAsia="Arial"/>
          <w:b w:val="0"/>
          <w:i w:val="0"/>
          <w:sz w:val="32"/>
          <w:u w:val="none"/>
          <w:szCs w:val="32"/>
        </w:rPr>
      </w:r>
    </w:p>
    <w:p>
      <w:pPr>
        <w:spacing w:after="160" w:before="0"/>
        <w:jc w:val="center"/>
      </w:pPr>
      <w:r>
        <w:rPr>
          <w:rFonts w:ascii="Arial" w:hAnsi="Arial" w:cs="Arial" w:eastAsia="Arial"/>
          <w:b/>
          <w:i w:val="0"/>
          <w:sz w:val="22"/>
          <w:u w:val="none"/>
          <w:szCs w:val="22"/>
        </w:rPr>
        <w:t>DOCKING-BASED PRIORITISATION OF RICEBERRY BRAN CONSTITUENTS AGAINST HUMAN α-GLUCOSIDASE AND α-AMYLASE FOR BY-PRODUCT VALORISATION</w:t>
      </w:r>
    </w:p>
    <w:p>
      <w:pPr>
        <w:spacing w:after="0" w:before="0"/>
        <w:jc w:val="center"/>
      </w:pPr>
      <w:r>
        <w:rPr>
          <w:rFonts w:ascii="Arial" w:hAnsi="Arial" w:cs="Arial" w:eastAsia="Arial"/>
          <w:b w:val="0"/>
          <w:i w:val="0"/>
          <w:sz w:val="22"/>
          <w:u w:val="single"/>
          <w:szCs w:val="22"/>
        </w:rPr>
        <w:t>Puttitada Pruetchayakul</w:t>
      </w:r>
      <w:r>
        <w:rPr>
          <w:rFonts w:ascii="Arial" w:hAnsi="Arial" w:cs="Arial" w:eastAsia="Arial"/>
          <w:b w:val="0"/>
          <w:i w:val="0"/>
          <w:sz w:val="22"/>
          <w:u w:val="none"/>
          <w:vertAlign w:val="superscript"/>
          <w:szCs w:val="22"/>
        </w:rPr>
        <w:t>1*</w:t>
      </w:r>
    </w:p>
    <w:p>
      <w:pPr>
        <w:spacing w:after="0" w:before="0"/>
        <w:jc w:val="center"/>
      </w:pPr>
      <w:r>
        <w:rPr>
          <w:rFonts w:ascii="Arial" w:hAnsi="Arial" w:cs="Arial" w:eastAsia="Arial"/>
          <w:b w:val="0"/>
          <w:i/>
          <w:sz w:val="22"/>
          <w:u w:val="none"/>
          <w:vertAlign w:val="superscript"/>
          <w:szCs w:val="22"/>
        </w:rPr>
        <w:t>1</w:t>
      </w:r>
      <w:r>
        <w:rPr>
          <w:rFonts w:ascii="Arial" w:hAnsi="Arial" w:cs="Arial" w:eastAsia="Arial"/>
          <w:b w:val="0"/>
          <w:i/>
          <w:sz w:val="22"/>
          <w:u w:val="none"/>
          <w:szCs w:val="22"/>
        </w:rPr>
        <w:t xml:space="preserve"> Bodindecha (Sing Singhaseni) School, Bangkok, Thailand</w:t>
      </w:r>
    </w:p>
    <w:p>
      <w:pPr>
        <w:spacing w:after="0" w:before="0"/>
        <w:jc w:val="both"/>
      </w:pPr>
    </w:p>
    <w:p>
      <w:pPr>
        <w:spacing w:after="120" w:before="0"/>
        <w:jc w:val="both"/>
      </w:pPr>
      <w:r>
        <w:rPr>
          <w:rFonts w:ascii="Arial" w:hAnsi="Arial" w:cs="Arial" w:eastAsia="Arial"/>
          <w:b/>
          <w:i w:val="0"/>
          <w:sz w:val="22"/>
          <w:u w:val="none"/>
          <w:szCs w:val="22"/>
        </w:rPr>
        <w:t xml:space="preserve">Rationale: </w:t>
      </w:r>
      <w:r>
        <w:rPr>
          <w:rFonts w:ascii="Arial" w:hAnsi="Arial" w:cs="Arial" w:eastAsia="Arial"/>
          <w:b w:val="0"/>
          <w:i w:val="0"/>
          <w:sz w:val="22"/>
          <w:u w:val="none"/>
          <w:szCs w:val="22"/>
        </w:rPr>
        <w:t>Riceberry bran, a low-value by-product of Thai rice milling, contains anthocyanins, γ-oryzanol, vitamin E and phenolic acids. Anthocyanins from pigmented rice inhibit the starch-digesting enzymes α-glucosidase and α-amylase in vitro. Which to extract and assay first is unresolved: they have never been compared on the human enzymes.</w:t>
      </w:r>
      <w:r>
        <w:rPr>
          <w:rFonts w:ascii="Arial" w:hAnsi="Arial" w:cs="Arial" w:eastAsia="Arial"/>
          <w:b/>
          <w:i w:val="0"/>
          <w:sz w:val="22"/>
          <w:u w:val="none"/>
          <w:szCs w:val="22"/>
        </w:rPr>
        <w:t xml:space="preserve"> Objective: </w:t>
      </w:r>
      <w:r>
        <w:rPr>
          <w:rFonts w:ascii="Arial" w:hAnsi="Arial" w:cs="Arial" w:eastAsia="Arial"/>
          <w:b w:val="0"/>
          <w:i w:val="0"/>
          <w:sz w:val="22"/>
          <w:u w:val="none"/>
          <w:szCs w:val="22"/>
        </w:rPr>
        <w:t>To prioritise eleven Riceberry bran constituents by predicted binding to human maltase-glucoamylase (MGAM) and pancreatic α-amylase (HPA), alongside the solubility a food ingredient needs.</w:t>
      </w:r>
      <w:r>
        <w:rPr>
          <w:rFonts w:ascii="Arial" w:hAnsi="Arial" w:cs="Arial" w:eastAsia="Arial"/>
          <w:b/>
          <w:i w:val="0"/>
          <w:sz w:val="22"/>
          <w:u w:val="none"/>
          <w:szCs w:val="22"/>
        </w:rPr>
        <w:t xml:space="preserve"> Methods: </w:t>
      </w:r>
      <w:r>
        <w:rPr>
          <w:rFonts w:ascii="Arial" w:hAnsi="Arial" w:cs="Arial" w:eastAsia="Arial"/>
          <w:b w:val="0"/>
          <w:i w:val="0"/>
          <w:sz w:val="22"/>
          <w:u w:val="none"/>
          <w:szCs w:val="22"/>
        </w:rPr>
        <w:t>MGAM (PDB 2QMJ) and HPA (PDB 3BAJ) were prepared at pH 7.4; compounds were docked into the acarbose site with AutoDock Vina 1.2.7 (exhaustiveness 16, 3 seeds, 78 runs). Re-docking crystal acarbose validated the protocol. Contact residues and physicochemical properties were analysed.</w:t>
      </w:r>
      <w:r>
        <w:rPr>
          <w:rFonts w:ascii="Arial" w:hAnsi="Arial" w:cs="Arial" w:eastAsia="Arial"/>
          <w:b/>
          <w:i w:val="0"/>
          <w:sz w:val="22"/>
          <w:u w:val="none"/>
          <w:szCs w:val="22"/>
        </w:rPr>
        <w:t xml:space="preserve"> Results: </w:t>
      </w:r>
      <w:r>
        <w:rPr>
          <w:rFonts w:ascii="Arial" w:hAnsi="Arial" w:cs="Arial" w:eastAsia="Arial"/>
          <w:b w:val="0"/>
          <w:i w:val="0"/>
          <w:sz w:val="22"/>
          <w:u w:val="none"/>
          <w:szCs w:val="22"/>
        </w:rPr>
        <w:t>Re-docked acarbose reproduced its crystal pose (RMSD 2.04–2.06 Å; −7.81 kcal/mol on MGAM, −8.69 on HPA). γ-Oryzanol esters bound most tightly (cycloartenyl ferulate −8.87 ± 0.12 on MGAM, −10.52 ± 0.09 on HPA) but were strongly lipophilic (logP &gt; 10). Cyanidin-3-O-glucoside (−7.71 ± 0.02; −8.09 ± 0.02) and peonidin-3-O-glucoside (−7.64; −8.09) ranked next, hydrogen-bonded the catalytic acids of both enzymes (Asp443/Asp542 and Asp197/Glu233), and were the only water-soluble front-runners (logP &lt; 0.7).</w:t>
      </w:r>
      <w:r>
        <w:rPr>
          <w:rFonts w:ascii="Arial" w:hAnsi="Arial" w:cs="Arial" w:eastAsia="Arial"/>
          <w:b/>
          <w:i w:val="0"/>
          <w:sz w:val="22"/>
          <w:u w:val="none"/>
          <w:szCs w:val="22"/>
        </w:rPr>
        <w:t xml:space="preserve"> Conclusion: </w:t>
      </w:r>
      <w:r>
        <w:rPr>
          <w:rFonts w:ascii="Arial" w:hAnsi="Arial" w:cs="Arial" w:eastAsia="Arial"/>
          <w:b w:val="0"/>
          <w:i w:val="0"/>
          <w:sz w:val="22"/>
          <w:u w:val="none"/>
          <w:szCs w:val="22"/>
        </w:rPr>
        <w:t>Within this panel the anthocyanins combine high predicted binding with food-compatible solubility; the tightest binders do not. Docking ranks predicted binding only; potency and selectivity require assay confirmation.</w:t>
      </w:r>
      <w:r>
        <w:rPr>
          <w:rFonts w:ascii="Arial" w:hAnsi="Arial" w:cs="Arial" w:eastAsia="Arial"/>
          <w:b/>
          <w:i w:val="0"/>
          <w:sz w:val="22"/>
          <w:u w:val="none"/>
          <w:szCs w:val="22"/>
        </w:rPr>
        <w:t xml:space="preserve"> Application: </w:t>
      </w:r>
      <w:r>
        <w:rPr>
          <w:rFonts w:ascii="Arial" w:hAnsi="Arial" w:cs="Arial" w:eastAsia="Arial"/>
          <w:b w:val="0"/>
          <w:i w:val="0"/>
          <w:sz w:val="22"/>
          <w:u w:val="none"/>
          <w:szCs w:val="22"/>
        </w:rPr>
        <w:t>The ranking identifies the acidified aqueous, anthocyanin-rich fraction, not whole bran or the oil fraction, as the one to carry forward, and defines the two-enzyme IC50 comparison needed to test it.</w:t>
      </w:r>
    </w:p>
    <w:p>
      <w:pPr>
        <w:spacing w:after="40" w:before="0"/>
        <w:jc w:val="left"/>
      </w:pPr>
      <w:r>
        <w:rPr>
          <w:rFonts w:ascii="Arial" w:hAnsi="Arial" w:cs="Arial" w:eastAsia="Arial"/>
          <w:b/>
          <w:i w:val="0"/>
          <w:sz w:val="22"/>
          <w:u w:val="none"/>
          <w:szCs w:val="22"/>
        </w:rPr>
        <w:t xml:space="preserve">Keywords: </w:t>
      </w:r>
      <w:r>
        <w:rPr>
          <w:rFonts w:ascii="Arial" w:hAnsi="Arial" w:cs="Arial" w:eastAsia="Arial"/>
          <w:b w:val="0"/>
          <w:i w:val="0"/>
          <w:sz w:val="22"/>
          <w:u w:val="none"/>
          <w:szCs w:val="22"/>
        </w:rPr>
        <w:t>Riceberry bran, anthocyanin, γ-oryzanol, α-glucosidase, molecular docking</w:t>
      </w:r>
    </w:p>
    <w:p>
      <w:pPr>
        <w:spacing w:after="40" w:before="0"/>
        <w:jc w:val="left"/>
      </w:pPr>
      <w:r>
        <w:rPr>
          <w:rFonts w:ascii="Arial" w:hAnsi="Arial" w:cs="Arial" w:eastAsia="Arial"/>
          <w:b/>
          <w:i w:val="0"/>
          <w:sz w:val="22"/>
          <w:u w:val="none"/>
          <w:szCs w:val="22"/>
        </w:rPr>
        <w:t xml:space="preserve">*Corresponding author: </w:t>
      </w:r>
      <w:r>
        <w:rPr>
          <w:rFonts w:ascii="Arial" w:hAnsi="Arial" w:cs="Arial" w:eastAsia="Arial"/>
          <w:b w:val="0"/>
          <w:i w:val="0"/>
          <w:sz w:val="22"/>
          <w:u w:val="none"/>
          <w:szCs w:val="22"/>
        </w:rPr>
        <w:t>graciepiewppiew@gmail.com</w:t>
      </w:r>
    </w:p>
    <w:sectPr w:rsidR="00394080">
      <w:headerReference w:type="default" r:id="rId7"/>
      <w:footerReference w:type="default" r:id="rId8"/>
      <w:pgSz w:w="11900" w:h="16840"/>
      <w:pgMar w:top="1134" w:right="1134" w:bottom="709" w:left="1418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A2A654F" w14:textId="77777777" w:rsidR="00E41DAB" w:rsidRDefault="00E41DAB">
      <w:r>
        <w:separator/>
      </w:r>
    </w:p>
  </w:endnote>
  <w:endnote w:type="continuationSeparator" w:id="0">
    <w:p w14:paraId="5E9E0D9E" w14:textId="77777777" w:rsidR="00E41DAB" w:rsidRDefault="00E41D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08309E27-4624-2E48-A4EA-EEEF19566B1A}"/>
    <w:embedBold r:id="rId2" w:fontKey="{CB907426-473D-6E4B-8A23-AFDC32082F34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3" w:fontKey="{D6442321-1BAF-5A4F-B9A4-F73CF04C56AA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4" w:fontKey="{9A17D36D-7352-2042-84B4-B8728E82FEB2}"/>
    <w:embedBold r:id="rId5" w:fontKey="{2C7127A7-6746-1744-B7E4-75178D943EF2}"/>
    <w:embedItalic r:id="rId6" w:fontKey="{02989411-64EC-8948-9D7D-6A2FAEA8542B}"/>
    <w:embedBoldItalic r:id="rId7" w:fontKey="{83643153-3CC1-4F48-9D59-20F81B04C73B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8" w:fontKey="{B36C3942-5916-E544-A572-BF24704FA1DA}"/>
    <w:embedBold r:id="rId9" w:fontKey="{B2260F2D-73D0-9D49-8A07-2138C90B8AA2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0" w:fontKey="{B928F4E2-080B-9B4E-BA74-C65E7CA2EB2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1" w:fontKey="{5BCB23A3-8271-F644-A072-DA2C9B74D26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65678E" w14:textId="77777777" w:rsidR="0083535F" w:rsidRDefault="0030134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49B65C86" wp14:editId="74086528">
          <wp:simplePos x="0" y="0"/>
          <wp:positionH relativeFrom="column">
            <wp:posOffset>-1021079</wp:posOffset>
          </wp:positionH>
          <wp:positionV relativeFrom="paragraph">
            <wp:posOffset>9004935</wp:posOffset>
          </wp:positionV>
          <wp:extent cx="8008620" cy="951230"/>
          <wp:effectExtent l="0" t="0" r="0" b="0"/>
          <wp:wrapSquare wrapText="bothSides" distT="0" distB="0" distL="114300" distR="114300"/>
          <wp:docPr id="2" name="image1.png" descr="ท้ายกำหนดการ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ท้ายกำหนดการ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008620" cy="9512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918B14" w14:textId="77777777" w:rsidR="00E41DAB" w:rsidRDefault="00E41DAB">
      <w:r>
        <w:separator/>
      </w:r>
    </w:p>
  </w:footnote>
  <w:footnote w:type="continuationSeparator" w:id="0">
    <w:p w14:paraId="26187103" w14:textId="77777777" w:rsidR="00E41DAB" w:rsidRDefault="00E41D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E64391" w14:textId="77777777" w:rsidR="0083535F" w:rsidRDefault="00301341">
    <w:pPr>
      <w:widowControl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left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451FBE2C" wp14:editId="6DCF6DDB">
          <wp:simplePos x="0" y="0"/>
          <wp:positionH relativeFrom="column">
            <wp:posOffset>-907414</wp:posOffset>
          </wp:positionH>
          <wp:positionV relativeFrom="paragraph">
            <wp:posOffset>-529589</wp:posOffset>
          </wp:positionV>
          <wp:extent cx="7693660" cy="913130"/>
          <wp:effectExtent l="0" t="0" r="0" b="0"/>
          <wp:wrapSquare wrapText="bothSides" distT="0" distB="0" distL="114300" distR="114300"/>
          <wp:docPr id="1" name="image2.png" descr="หัวกำหนดการ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หัวกำหนดการ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93660" cy="9131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2E27BDE"/>
    <w:multiLevelType w:val="multilevel"/>
    <w:tmpl w:val="72CC9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88624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535F"/>
    <w:rsid w:val="00301341"/>
    <w:rsid w:val="00394080"/>
    <w:rsid w:val="00431059"/>
    <w:rsid w:val="004C78B5"/>
    <w:rsid w:val="00517AD1"/>
    <w:rsid w:val="00724EF9"/>
    <w:rsid w:val="0083535F"/>
    <w:rsid w:val="00B87CF8"/>
    <w:rsid w:val="00C859B7"/>
    <w:rsid w:val="00D80C21"/>
    <w:rsid w:val="00D82F61"/>
    <w:rsid w:val="00E21DBC"/>
    <w:rsid w:val="00E41DAB"/>
    <w:rsid w:val="00FE6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18CC6"/>
  <w15:docId w15:val="{2D7C2BD9-C10C-489D-B999-FDDF7CB22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" w:eastAsia="en-US" w:bidi="th-TH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9B7"/>
    <w:rPr>
      <w:rFonts w:eastAsia="MS Mincho" w:cs="Angsana New"/>
      <w:kern w:val="2"/>
      <w:szCs w:val="24"/>
      <w:lang w:val="en-US" w:eastAsia="ja-JP"/>
    </w:rPr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Arial" w:eastAsia="Arial" w:hAnsi="Arial" w:cs="Arial"/>
      <w:kern w:val="0"/>
      <w:sz w:val="24"/>
      <w:lang w:val="en" w:eastAsia="en-US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widowControl/>
      <w:jc w:val="left"/>
      <w:outlineLvl w:val="1"/>
    </w:pPr>
    <w:rPr>
      <w:rFonts w:ascii="Arial" w:eastAsia="Arial" w:hAnsi="Arial" w:cs="Arial"/>
      <w:kern w:val="0"/>
      <w:szCs w:val="20"/>
      <w:u w:val="single"/>
      <w:lang w:val="en"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ind w:left="400"/>
      <w:outlineLvl w:val="2"/>
    </w:pPr>
    <w:rPr>
      <w:rFonts w:ascii="Arial" w:eastAsia="Arial" w:hAnsi="Arial" w:cs="Arial"/>
      <w:kern w:val="0"/>
      <w:szCs w:val="20"/>
      <w:lang w:val="en" w:eastAsia="en-US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ind w:left="400"/>
      <w:outlineLvl w:val="3"/>
    </w:pPr>
    <w:rPr>
      <w:rFonts w:eastAsia="Times New Roman" w:cs="Times New Roman"/>
      <w:b/>
      <w:bCs/>
      <w:kern w:val="0"/>
      <w:szCs w:val="20"/>
      <w:lang w:val="en" w:eastAsia="en-US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ind w:left="800"/>
      <w:outlineLvl w:val="4"/>
    </w:pPr>
    <w:rPr>
      <w:rFonts w:ascii="Arial" w:eastAsia="Arial" w:hAnsi="Arial" w:cs="Arial"/>
      <w:kern w:val="0"/>
      <w:szCs w:val="20"/>
      <w:lang w:val="en" w:eastAsia="en-US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ind w:left="800"/>
      <w:outlineLvl w:val="5"/>
    </w:pPr>
    <w:rPr>
      <w:rFonts w:eastAsia="Times New Roman" w:cs="Times New Roman"/>
      <w:b/>
      <w:bCs/>
      <w:kern w:val="0"/>
      <w:szCs w:val="20"/>
      <w:lang w:val="en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widowControl/>
      <w:jc w:val="center"/>
    </w:pPr>
    <w:rPr>
      <w:rFonts w:eastAsia="Times New Roman" w:cs="Times New Roman"/>
      <w:b/>
      <w:bCs/>
      <w:kern w:val="0"/>
      <w:sz w:val="28"/>
      <w:szCs w:val="28"/>
      <w:lang w:val="en" w:eastAsia="en-US"/>
    </w:rPr>
  </w:style>
  <w:style w:type="paragraph" w:styleId="Subtitle">
    <w:name w:val="Subtitle"/>
    <w:basedOn w:val="Normal"/>
    <w:next w:val="Normal"/>
    <w:uiPriority w:val="11"/>
    <w:qFormat/>
    <w:pPr>
      <w:jc w:val="center"/>
    </w:pPr>
    <w:rPr>
      <w:rFonts w:eastAsia="Times New Roman" w:cs="Times New Roman"/>
      <w:b/>
      <w:bCs/>
      <w:kern w:val="0"/>
      <w:sz w:val="22"/>
      <w:szCs w:val="22"/>
      <w:lang w:val="en" w:eastAsia="en-US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94080"/>
    <w:pPr>
      <w:tabs>
        <w:tab w:val="center" w:pos="4680"/>
        <w:tab w:val="right" w:pos="9360"/>
      </w:tabs>
    </w:pPr>
    <w:rPr>
      <w:rFonts w:eastAsia="Times New Roman"/>
      <w:kern w:val="0"/>
      <w:szCs w:val="25"/>
      <w:lang w:val="en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94080"/>
    <w:rPr>
      <w:rFonts w:cs="Angsana New"/>
      <w:szCs w:val="25"/>
    </w:rPr>
  </w:style>
  <w:style w:type="paragraph" w:styleId="Footer">
    <w:name w:val="footer"/>
    <w:basedOn w:val="Normal"/>
    <w:link w:val="FooterChar"/>
    <w:uiPriority w:val="99"/>
    <w:unhideWhenUsed/>
    <w:rsid w:val="00394080"/>
    <w:pPr>
      <w:tabs>
        <w:tab w:val="center" w:pos="4680"/>
        <w:tab w:val="right" w:pos="9360"/>
      </w:tabs>
    </w:pPr>
    <w:rPr>
      <w:rFonts w:eastAsia="Times New Roman"/>
      <w:kern w:val="0"/>
      <w:szCs w:val="25"/>
      <w:lang w:val="en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394080"/>
    <w:rPr>
      <w:rFonts w:cs="Angsana New"/>
      <w:szCs w:val="25"/>
    </w:rPr>
  </w:style>
  <w:style w:type="paragraph" w:styleId="NormalWeb">
    <w:name w:val="Normal (Web)"/>
    <w:basedOn w:val="Normal"/>
    <w:uiPriority w:val="99"/>
    <w:semiHidden/>
    <w:unhideWhenUsed/>
    <w:rsid w:val="00394080"/>
    <w:pPr>
      <w:widowControl/>
      <w:spacing w:before="100" w:beforeAutospacing="1" w:after="100" w:afterAutospacing="1"/>
      <w:jc w:val="left"/>
    </w:pPr>
    <w:rPr>
      <w:rFonts w:eastAsia="Times New Roman" w:cs="Times New Roman"/>
      <w:kern w:val="0"/>
      <w:sz w:val="24"/>
      <w:lang w:eastAsia="en-US"/>
    </w:rPr>
  </w:style>
  <w:style w:type="character" w:styleId="Strong">
    <w:name w:val="Strong"/>
    <w:basedOn w:val="DefaultParagraphFont"/>
    <w:uiPriority w:val="22"/>
    <w:qFormat/>
    <w:rsid w:val="0039408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394080"/>
    <w:rPr>
      <w:rFonts w:ascii="Arial" w:eastAsia="Arial" w:hAnsi="Arial" w:cs="Arial"/>
    </w:rPr>
  </w:style>
  <w:style w:type="character" w:customStyle="1" w:styleId="TCN-Thaiabstract-ThaiTitleChar">
    <w:name w:val="TCN-Thai abstract-Thai Title Char"/>
    <w:link w:val="TCN-Thaiabstract-ThaiTitle"/>
    <w:locked/>
    <w:rsid w:val="00D80C21"/>
    <w:rPr>
      <w:rFonts w:ascii="Cordia New" w:eastAsia="MS Mincho" w:hAnsi="Cordia New" w:cs="Cordia New"/>
      <w:b/>
      <w:bCs/>
      <w:kern w:val="2"/>
      <w:sz w:val="36"/>
      <w:szCs w:val="36"/>
      <w:lang w:eastAsia="ja-JP"/>
    </w:rPr>
  </w:style>
  <w:style w:type="paragraph" w:customStyle="1" w:styleId="TCN-Thaiabstract-ThaiTitle">
    <w:name w:val="TCN-Thai abstract-Thai Title"/>
    <w:basedOn w:val="Normal"/>
    <w:link w:val="TCN-Thaiabstract-ThaiTitleChar"/>
    <w:qFormat/>
    <w:rsid w:val="00D80C21"/>
    <w:rPr>
      <w:rFonts w:ascii="Cordia New" w:hAnsi="Cordia New" w:cs="Cordia New"/>
      <w:b/>
      <w:bCs/>
      <w:sz w:val="36"/>
      <w:szCs w:val="36"/>
      <w:lang w:val="en"/>
    </w:rPr>
  </w:style>
  <w:style w:type="character" w:customStyle="1" w:styleId="TCN-Thaiabstract-EngTitleChar">
    <w:name w:val="TCN-Thai abstract-EngTitle Char"/>
    <w:link w:val="TCN-Thaiabstract-EngTitle"/>
    <w:locked/>
    <w:rsid w:val="00D80C21"/>
    <w:rPr>
      <w:rFonts w:ascii="Arial" w:eastAsia="MS Mincho" w:hAnsi="Arial" w:cs="Arial"/>
      <w:b/>
      <w:bCs/>
      <w:kern w:val="2"/>
      <w:sz w:val="24"/>
      <w:szCs w:val="24"/>
      <w:lang w:eastAsia="ja-JP"/>
    </w:rPr>
  </w:style>
  <w:style w:type="paragraph" w:customStyle="1" w:styleId="TCN-Thaiabstract-EngTitle">
    <w:name w:val="TCN-Thai abstract-EngTitle"/>
    <w:basedOn w:val="Normal"/>
    <w:link w:val="TCN-Thaiabstract-EngTitleChar"/>
    <w:qFormat/>
    <w:rsid w:val="00D80C21"/>
    <w:pPr>
      <w:jc w:val="left"/>
    </w:pPr>
    <w:rPr>
      <w:rFonts w:ascii="Arial" w:hAnsi="Arial" w:cs="Arial"/>
      <w:b/>
      <w:bCs/>
      <w:sz w:val="24"/>
      <w:lang w:val="en"/>
    </w:rPr>
  </w:style>
  <w:style w:type="character" w:customStyle="1" w:styleId="TCN-Thaiabstract-bodyChar">
    <w:name w:val="TCN-Thai abstract-body Char"/>
    <w:link w:val="TCN-Thaiabstract-body"/>
    <w:locked/>
    <w:rsid w:val="00D80C21"/>
    <w:rPr>
      <w:rFonts w:ascii="Cordia New" w:eastAsia="MS Mincho" w:hAnsi="Cordia New" w:cs="Cordia New"/>
      <w:kern w:val="2"/>
      <w:sz w:val="32"/>
      <w:szCs w:val="32"/>
      <w:lang w:eastAsia="ja-JP"/>
    </w:rPr>
  </w:style>
  <w:style w:type="paragraph" w:customStyle="1" w:styleId="TCN-Thaiabstract-body">
    <w:name w:val="TCN-Thai abstract-body"/>
    <w:basedOn w:val="Normal"/>
    <w:link w:val="TCN-Thaiabstract-bodyChar"/>
    <w:qFormat/>
    <w:rsid w:val="00D80C21"/>
    <w:rPr>
      <w:rFonts w:ascii="Cordia New" w:hAnsi="Cordia New" w:cs="Cordia New"/>
      <w:sz w:val="32"/>
      <w:szCs w:val="32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8515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2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7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6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7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1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6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Punnee Ponprachanuvut</cp:lastModifiedBy>
  <cp:revision>3</cp:revision>
  <dcterms:created xsi:type="dcterms:W3CDTF">2026-10-18T06:20:00Z</dcterms:created>
  <dcterms:modified xsi:type="dcterms:W3CDTF">2026-10-18T06:20:00Z</dcterms:modified>
</cp:coreProperties>
</file>