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Supplementary figures and full data</w:t>
      </w:r>
    </w:p>
    <w:p>
      <w:pPr>
        <w:spacing w:after="80"/>
        <w:jc w:val="center"/>
      </w:pPr>
      <w:r>
        <w:rPr>
          <w:rFonts w:ascii="Arial" w:hAnsi="Arial" w:cs="Arial"/>
          <w:i/>
          <w:sz w:val="30"/>
        </w:rPr>
        <w:t>Docking-based prioritisation of Riceberry bran constituents against human α-glucosidase and α-amylase for by-product valorisation</w:t>
      </w:r>
    </w:p>
    <w:p>
      <w:pPr>
        <w:spacing w:after="80"/>
        <w:jc w:val="center"/>
      </w:pPr>
      <w:r>
        <w:rPr>
          <w:rFonts w:ascii="Arial" w:hAnsi="Arial" w:cs="Arial"/>
          <w:i w:val="0"/>
          <w:sz w:val="28"/>
        </w:rPr>
        <w:t>Puttitada Pruetchayakul · Bodindecha (Sing Singhaseni) School, Bangkok, Thailand · graciepiewppiew@gmail.com</w:t>
      </w:r>
    </w:p>
    <w:p>
      <w:pPr>
        <w:spacing w:before="200" w:after="80"/>
      </w:pPr>
      <w:r>
        <w:rPr>
          <w:rFonts w:ascii="Arial" w:hAnsi="Arial" w:cs="Arial"/>
          <w:b/>
          <w:sz w:val="38"/>
        </w:rPr>
        <w:t>Table S1  Every compound, both enzymes, every number behind the poster</w:t>
      </w:r>
    </w:p>
    <w:tbl>
      <w:tblPr>
        <w:tblW w:type="auto" w:w="0"/>
        <w:tblLayout w:type="fixed"/>
        <w:tblLook w:firstColumn="1" w:firstRow="1" w:lastColumn="0" w:lastRow="0" w:noHBand="0" w:noVBand="1" w:val="04A0"/>
        <w:tblBorders>
          <w:top w:val="single" w:sz="4" w:color="8A93A8"/>
          <w:left w:val="single" w:sz="4" w:color="8A93A8"/>
          <w:bottom w:val="single" w:sz="4" w:color="8A93A8"/>
          <w:right w:val="single" w:sz="4" w:color="8A93A8"/>
          <w:insideH w:val="single" w:sz="4" w:color="8A93A8"/>
          <w:insideV w:val="single" w:sz="4" w:color="8A93A8"/>
        </w:tblBorders>
        <w:tblCellMar/>
      </w:tblPr>
      <w:tblGrid>
        <w:gridCol w:w="2494"/>
        <w:gridCol w:w="907"/>
        <w:gridCol w:w="907"/>
        <w:gridCol w:w="850"/>
        <w:gridCol w:w="1644"/>
        <w:gridCol w:w="794"/>
        <w:gridCol w:w="1247"/>
        <w:gridCol w:w="794"/>
        <w:gridCol w:w="1644"/>
        <w:gridCol w:w="794"/>
        <w:gridCol w:w="1247"/>
        <w:gridCol w:w="794"/>
      </w:tblGrid>
      <w:tr>
        <w:tc>
          <w:tcPr>
            <w:tcW w:type="dxa" w:w="2494"/>
          </w:tcPr>
          <w:p>
            <w:pPr>
              <w:spacing w:after="0"/>
            </w:pPr>
            <w:r/>
            <w:r>
              <w:rPr>
                <w:rFonts w:ascii="Arial" w:hAnsi="Arial" w:cs="Arial"/>
                <w:b/>
                <w:sz w:val="22"/>
              </w:rPr>
              <w:t>Compound</w:t>
            </w:r>
          </w:p>
        </w:tc>
        <w:tc>
          <w:tcPr>
            <w:tcW w:type="dxa" w:w="907"/>
          </w:tcPr>
          <w:p>
            <w:pPr>
              <w:spacing w:after="0"/>
              <w:jc w:val="center"/>
            </w:pPr>
            <w:r/>
            <w:r>
              <w:rPr>
                <w:rFonts w:ascii="Arial" w:hAnsi="Arial" w:cs="Arial"/>
                <w:b/>
                <w:sz w:val="22"/>
              </w:rPr>
              <w:t>MW</w:t>
            </w:r>
          </w:p>
        </w:tc>
        <w:tc>
          <w:tcPr>
            <w:tcW w:type="dxa" w:w="907"/>
          </w:tcPr>
          <w:p>
            <w:pPr>
              <w:spacing w:after="0"/>
              <w:jc w:val="center"/>
            </w:pPr>
            <w:r/>
            <w:r>
              <w:rPr>
                <w:rFonts w:ascii="Arial" w:hAnsi="Arial" w:cs="Arial"/>
                <w:b/>
                <w:sz w:val="22"/>
              </w:rPr>
              <w:t>logP</w:t>
            </w:r>
          </w:p>
        </w:tc>
        <w:tc>
          <w:tcPr>
            <w:tcW w:type="dxa" w:w="850"/>
          </w:tcPr>
          <w:p>
            <w:pPr>
              <w:spacing w:after="0"/>
              <w:jc w:val="center"/>
            </w:pPr>
            <w:r/>
            <w:r>
              <w:rPr>
                <w:rFonts w:ascii="Arial" w:hAnsi="Arial" w:cs="Arial"/>
                <w:b/>
                <w:sz w:val="22"/>
              </w:rPr>
              <w:t>Atoms</w:t>
            </w:r>
          </w:p>
        </w:tc>
        <w:tc>
          <w:tcPr>
            <w:tcW w:type="dxa" w:w="1644"/>
          </w:tcPr>
          <w:p>
            <w:pPr>
              <w:spacing w:after="0"/>
              <w:jc w:val="center"/>
            </w:pPr>
            <w:r/>
            <w:r>
              <w:rPr>
                <w:rFonts w:ascii="Arial" w:hAnsi="Arial" w:cs="Arial"/>
                <w:b/>
                <w:sz w:val="22"/>
              </w:rPr>
              <w:t>MGAM ΔG ± SD</w:t>
            </w:r>
          </w:p>
        </w:tc>
        <w:tc>
          <w:tcPr>
            <w:tcW w:type="dxa" w:w="794"/>
          </w:tcPr>
          <w:p>
            <w:pPr>
              <w:spacing w:after="0"/>
              <w:jc w:val="center"/>
            </w:pPr>
            <w:r/>
            <w:r>
              <w:rPr>
                <w:rFonts w:ascii="Arial" w:hAnsi="Arial" w:cs="Arial"/>
                <w:b/>
                <w:sz w:val="22"/>
              </w:rPr>
              <w:t>LE</w:t>
            </w:r>
          </w:p>
        </w:tc>
        <w:tc>
          <w:tcPr>
            <w:tcW w:type="dxa" w:w="1247"/>
          </w:tcPr>
          <w:p>
            <w:pPr>
              <w:spacing w:after="0"/>
              <w:jc w:val="center"/>
            </w:pPr>
            <w:r/>
            <w:r>
              <w:rPr>
                <w:rFonts w:ascii="Arial" w:hAnsi="Arial" w:cs="Arial"/>
                <w:b/>
                <w:sz w:val="22"/>
              </w:rPr>
              <w:t>H-bonds (cat.)</w:t>
            </w:r>
          </w:p>
        </w:tc>
        <w:tc>
          <w:tcPr>
            <w:tcW w:type="dxa" w:w="794"/>
          </w:tcPr>
          <w:p>
            <w:pPr>
              <w:spacing w:after="0"/>
              <w:jc w:val="center"/>
            </w:pPr>
            <w:r/>
            <w:r>
              <w:rPr>
                <w:rFonts w:ascii="Arial" w:hAnsi="Arial" w:cs="Arial"/>
                <w:b/>
                <w:sz w:val="22"/>
              </w:rPr>
              <w:t>Site %</w:t>
            </w:r>
          </w:p>
        </w:tc>
        <w:tc>
          <w:tcPr>
            <w:tcW w:type="dxa" w:w="1644"/>
          </w:tcPr>
          <w:p>
            <w:pPr>
              <w:spacing w:after="0"/>
              <w:jc w:val="center"/>
            </w:pPr>
            <w:r/>
            <w:r>
              <w:rPr>
                <w:rFonts w:ascii="Arial" w:hAnsi="Arial" w:cs="Arial"/>
                <w:b/>
                <w:sz w:val="22"/>
              </w:rPr>
              <w:t>HPA ΔG ± SD</w:t>
            </w:r>
          </w:p>
        </w:tc>
        <w:tc>
          <w:tcPr>
            <w:tcW w:type="dxa" w:w="794"/>
          </w:tcPr>
          <w:p>
            <w:pPr>
              <w:spacing w:after="0"/>
              <w:jc w:val="center"/>
            </w:pPr>
            <w:r/>
            <w:r>
              <w:rPr>
                <w:rFonts w:ascii="Arial" w:hAnsi="Arial" w:cs="Arial"/>
                <w:b/>
                <w:sz w:val="22"/>
              </w:rPr>
              <w:t>LE</w:t>
            </w:r>
          </w:p>
        </w:tc>
        <w:tc>
          <w:tcPr>
            <w:tcW w:type="dxa" w:w="1247"/>
          </w:tcPr>
          <w:p>
            <w:pPr>
              <w:spacing w:after="0"/>
              <w:jc w:val="center"/>
            </w:pPr>
            <w:r/>
            <w:r>
              <w:rPr>
                <w:rFonts w:ascii="Arial" w:hAnsi="Arial" w:cs="Arial"/>
                <w:b/>
                <w:sz w:val="22"/>
              </w:rPr>
              <w:t>H-bonds (cat.)</w:t>
            </w:r>
          </w:p>
        </w:tc>
        <w:tc>
          <w:tcPr>
            <w:tcW w:type="dxa" w:w="794"/>
          </w:tcPr>
          <w:p>
            <w:pPr>
              <w:spacing w:after="0"/>
              <w:jc w:val="center"/>
            </w:pPr>
            <w:r/>
            <w:r>
              <w:rPr>
                <w:rFonts w:ascii="Arial" w:hAnsi="Arial" w:cs="Arial"/>
                <w:b/>
                <w:sz w:val="22"/>
              </w:rPr>
              <w:t>Site %</w:t>
            </w:r>
          </w:p>
        </w:tc>
      </w:tr>
      <w:tr>
        <w:tc>
          <w:tcPr>
            <w:tcW w:type="dxa" w:w="2494"/>
          </w:tcPr>
          <w:p>
            <w:pPr>
              <w:spacing w:after="0"/>
            </w:pPr>
            <w:r/>
            <w:r>
              <w:rPr>
                <w:rFonts w:ascii="Arial" w:hAnsi="Arial" w:cs="Arial"/>
                <w:b w:val="0"/>
                <w:sz w:val="22"/>
              </w:rPr>
              <w:t>Cycloartenyl ferulate</w:t>
            </w:r>
          </w:p>
        </w:tc>
        <w:tc>
          <w:tcPr>
            <w:tcW w:type="dxa" w:w="907"/>
          </w:tcPr>
          <w:p>
            <w:pPr>
              <w:spacing w:after="0"/>
              <w:jc w:val="center"/>
            </w:pPr>
            <w:r/>
            <w:r>
              <w:rPr>
                <w:rFonts w:ascii="Arial" w:hAnsi="Arial" w:cs="Arial"/>
                <w:b w:val="0"/>
                <w:sz w:val="22"/>
              </w:rPr>
              <w:t>603</w:t>
            </w:r>
          </w:p>
        </w:tc>
        <w:tc>
          <w:tcPr>
            <w:tcW w:type="dxa" w:w="907"/>
          </w:tcPr>
          <w:p>
            <w:pPr>
              <w:spacing w:after="0"/>
              <w:jc w:val="center"/>
            </w:pPr>
            <w:r/>
            <w:r>
              <w:rPr>
                <w:rFonts w:ascii="Arial" w:hAnsi="Arial" w:cs="Arial"/>
                <w:b w:val="0"/>
                <w:sz w:val="22"/>
              </w:rPr>
              <w:t>10.15</w:t>
            </w:r>
          </w:p>
        </w:tc>
        <w:tc>
          <w:tcPr>
            <w:tcW w:type="dxa" w:w="850"/>
          </w:tcPr>
          <w:p>
            <w:pPr>
              <w:spacing w:after="0"/>
              <w:jc w:val="center"/>
            </w:pPr>
            <w:r/>
            <w:r>
              <w:rPr>
                <w:rFonts w:ascii="Arial" w:hAnsi="Arial" w:cs="Arial"/>
                <w:b w:val="0"/>
                <w:sz w:val="22"/>
              </w:rPr>
              <w:t>44</w:t>
            </w:r>
          </w:p>
        </w:tc>
        <w:tc>
          <w:tcPr>
            <w:tcW w:type="dxa" w:w="1644"/>
          </w:tcPr>
          <w:p>
            <w:pPr>
              <w:spacing w:after="0"/>
              <w:jc w:val="center"/>
            </w:pPr>
            <w:r/>
            <w:r>
              <w:rPr>
                <w:rFonts w:ascii="Arial" w:hAnsi="Arial" w:cs="Arial"/>
                <w:b w:val="0"/>
                <w:sz w:val="22"/>
              </w:rPr>
              <w:t>−8.87 ± 0.12</w:t>
            </w:r>
          </w:p>
        </w:tc>
        <w:tc>
          <w:tcPr>
            <w:tcW w:type="dxa" w:w="794"/>
          </w:tcPr>
          <w:p>
            <w:pPr>
              <w:spacing w:after="0"/>
              <w:jc w:val="center"/>
            </w:pPr>
            <w:r/>
            <w:r>
              <w:rPr>
                <w:rFonts w:ascii="Arial" w:hAnsi="Arial" w:cs="Arial"/>
                <w:b w:val="0"/>
                <w:sz w:val="22"/>
              </w:rPr>
              <w:t>0.203</w:t>
            </w:r>
          </w:p>
        </w:tc>
        <w:tc>
          <w:tcPr>
            <w:tcW w:type="dxa" w:w="1247"/>
          </w:tcPr>
          <w:p>
            <w:pPr>
              <w:spacing w:after="0"/>
              <w:jc w:val="center"/>
            </w:pPr>
            <w:r/>
            <w:r>
              <w:rPr>
                <w:rFonts w:ascii="Arial" w:hAnsi="Arial" w:cs="Arial"/>
                <w:b w:val="0"/>
                <w:sz w:val="22"/>
              </w:rPr>
              <w:t>3 (0)</w:t>
            </w:r>
          </w:p>
        </w:tc>
        <w:tc>
          <w:tcPr>
            <w:tcW w:type="dxa" w:w="794"/>
          </w:tcPr>
          <w:p>
            <w:pPr>
              <w:spacing w:after="0"/>
              <w:jc w:val="center"/>
            </w:pPr>
            <w:r/>
            <w:r>
              <w:rPr>
                <w:rFonts w:ascii="Arial" w:hAnsi="Arial" w:cs="Arial"/>
                <w:b w:val="0"/>
                <w:sz w:val="22"/>
              </w:rPr>
              <w:t>55</w:t>
            </w:r>
          </w:p>
        </w:tc>
        <w:tc>
          <w:tcPr>
            <w:tcW w:type="dxa" w:w="1644"/>
          </w:tcPr>
          <w:p>
            <w:pPr>
              <w:spacing w:after="0"/>
              <w:jc w:val="center"/>
            </w:pPr>
            <w:r/>
            <w:r>
              <w:rPr>
                <w:rFonts w:ascii="Arial" w:hAnsi="Arial" w:cs="Arial"/>
                <w:b w:val="0"/>
                <w:sz w:val="22"/>
              </w:rPr>
              <w:t>−10.52 ± 0.09</w:t>
            </w:r>
          </w:p>
        </w:tc>
        <w:tc>
          <w:tcPr>
            <w:tcW w:type="dxa" w:w="794"/>
          </w:tcPr>
          <w:p>
            <w:pPr>
              <w:spacing w:after="0"/>
              <w:jc w:val="center"/>
            </w:pPr>
            <w:r/>
            <w:r>
              <w:rPr>
                <w:rFonts w:ascii="Arial" w:hAnsi="Arial" w:cs="Arial"/>
                <w:b w:val="0"/>
                <w:sz w:val="22"/>
              </w:rPr>
              <w:t>0.241</w:t>
            </w:r>
          </w:p>
        </w:tc>
        <w:tc>
          <w:tcPr>
            <w:tcW w:type="dxa" w:w="1247"/>
          </w:tcPr>
          <w:p>
            <w:pPr>
              <w:spacing w:after="0"/>
              <w:jc w:val="center"/>
            </w:pPr>
            <w:r/>
            <w:r>
              <w:rPr>
                <w:rFonts w:ascii="Arial" w:hAnsi="Arial" w:cs="Arial"/>
                <w:b w:val="0"/>
                <w:sz w:val="22"/>
              </w:rPr>
              <w:t>4 (2)</w:t>
            </w:r>
          </w:p>
        </w:tc>
        <w:tc>
          <w:tcPr>
            <w:tcW w:type="dxa" w:w="794"/>
          </w:tcPr>
          <w:p>
            <w:pPr>
              <w:spacing w:after="0"/>
              <w:jc w:val="center"/>
            </w:pPr>
            <w:r/>
            <w:r>
              <w:rPr>
                <w:rFonts w:ascii="Arial" w:hAnsi="Arial" w:cs="Arial"/>
                <w:b w:val="0"/>
                <w:sz w:val="22"/>
              </w:rPr>
              <w:t>75</w:t>
            </w:r>
          </w:p>
        </w:tc>
      </w:tr>
      <w:tr>
        <w:tc>
          <w:tcPr>
            <w:tcW w:type="dxa" w:w="2494"/>
          </w:tcPr>
          <w:p>
            <w:pPr>
              <w:spacing w:after="0"/>
            </w:pPr>
            <w:r/>
            <w:r>
              <w:rPr>
                <w:rFonts w:ascii="Arial" w:hAnsi="Arial" w:cs="Arial"/>
                <w:b w:val="0"/>
                <w:sz w:val="22"/>
              </w:rPr>
              <w:t>24-Methylenecycloartanyl ferulate</w:t>
            </w:r>
          </w:p>
        </w:tc>
        <w:tc>
          <w:tcPr>
            <w:tcW w:type="dxa" w:w="907"/>
          </w:tcPr>
          <w:p>
            <w:pPr>
              <w:spacing w:after="0"/>
              <w:jc w:val="center"/>
            </w:pPr>
            <w:r/>
            <w:r>
              <w:rPr>
                <w:rFonts w:ascii="Arial" w:hAnsi="Arial" w:cs="Arial"/>
                <w:b w:val="0"/>
                <w:sz w:val="22"/>
              </w:rPr>
              <w:t>617</w:t>
            </w:r>
          </w:p>
        </w:tc>
        <w:tc>
          <w:tcPr>
            <w:tcW w:type="dxa" w:w="907"/>
          </w:tcPr>
          <w:p>
            <w:pPr>
              <w:spacing w:after="0"/>
              <w:jc w:val="center"/>
            </w:pPr>
            <w:r/>
            <w:r>
              <w:rPr>
                <w:rFonts w:ascii="Arial" w:hAnsi="Arial" w:cs="Arial"/>
                <w:b w:val="0"/>
                <w:sz w:val="22"/>
              </w:rPr>
              <w:t>10.39</w:t>
            </w:r>
          </w:p>
        </w:tc>
        <w:tc>
          <w:tcPr>
            <w:tcW w:type="dxa" w:w="850"/>
          </w:tcPr>
          <w:p>
            <w:pPr>
              <w:spacing w:after="0"/>
              <w:jc w:val="center"/>
            </w:pPr>
            <w:r/>
            <w:r>
              <w:rPr>
                <w:rFonts w:ascii="Arial" w:hAnsi="Arial" w:cs="Arial"/>
                <w:b w:val="0"/>
                <w:sz w:val="22"/>
              </w:rPr>
              <w:t>45</w:t>
            </w:r>
          </w:p>
        </w:tc>
        <w:tc>
          <w:tcPr>
            <w:tcW w:type="dxa" w:w="1644"/>
          </w:tcPr>
          <w:p>
            <w:pPr>
              <w:spacing w:after="0"/>
              <w:jc w:val="center"/>
            </w:pPr>
            <w:r/>
            <w:r>
              <w:rPr>
                <w:rFonts w:ascii="Arial" w:hAnsi="Arial" w:cs="Arial"/>
                <w:b w:val="0"/>
                <w:sz w:val="22"/>
              </w:rPr>
              <w:t>−8.53 ± 0.16</w:t>
            </w:r>
          </w:p>
        </w:tc>
        <w:tc>
          <w:tcPr>
            <w:tcW w:type="dxa" w:w="794"/>
          </w:tcPr>
          <w:p>
            <w:pPr>
              <w:spacing w:after="0"/>
              <w:jc w:val="center"/>
            </w:pPr>
            <w:r/>
            <w:r>
              <w:rPr>
                <w:rFonts w:ascii="Arial" w:hAnsi="Arial" w:cs="Arial"/>
                <w:b w:val="0"/>
                <w:sz w:val="22"/>
              </w:rPr>
              <w:t>0.194</w:t>
            </w:r>
          </w:p>
        </w:tc>
        <w:tc>
          <w:tcPr>
            <w:tcW w:type="dxa" w:w="1247"/>
          </w:tcPr>
          <w:p>
            <w:pPr>
              <w:spacing w:after="0"/>
              <w:jc w:val="center"/>
            </w:pPr>
            <w:r/>
            <w:r>
              <w:rPr>
                <w:rFonts w:ascii="Arial" w:hAnsi="Arial" w:cs="Arial"/>
                <w:b w:val="0"/>
                <w:sz w:val="22"/>
              </w:rPr>
              <w:t>2 (1)</w:t>
            </w:r>
          </w:p>
        </w:tc>
        <w:tc>
          <w:tcPr>
            <w:tcW w:type="dxa" w:w="794"/>
          </w:tcPr>
          <w:p>
            <w:pPr>
              <w:spacing w:after="0"/>
              <w:jc w:val="center"/>
            </w:pPr>
            <w:r/>
            <w:r>
              <w:rPr>
                <w:rFonts w:ascii="Arial" w:hAnsi="Arial" w:cs="Arial"/>
                <w:b w:val="0"/>
                <w:sz w:val="22"/>
              </w:rPr>
              <w:t>54</w:t>
            </w:r>
          </w:p>
        </w:tc>
        <w:tc>
          <w:tcPr>
            <w:tcW w:type="dxa" w:w="1644"/>
          </w:tcPr>
          <w:p>
            <w:pPr>
              <w:spacing w:after="0"/>
              <w:jc w:val="center"/>
            </w:pPr>
            <w:r/>
            <w:r>
              <w:rPr>
                <w:rFonts w:ascii="Arial" w:hAnsi="Arial" w:cs="Arial"/>
                <w:b w:val="0"/>
                <w:sz w:val="22"/>
              </w:rPr>
              <w:t>−9.92 ± 0.05</w:t>
            </w:r>
          </w:p>
        </w:tc>
        <w:tc>
          <w:tcPr>
            <w:tcW w:type="dxa" w:w="794"/>
          </w:tcPr>
          <w:p>
            <w:pPr>
              <w:spacing w:after="0"/>
              <w:jc w:val="center"/>
            </w:pPr>
            <w:r/>
            <w:r>
              <w:rPr>
                <w:rFonts w:ascii="Arial" w:hAnsi="Arial" w:cs="Arial"/>
                <w:b w:val="0"/>
                <w:sz w:val="22"/>
              </w:rPr>
              <w:t>0.221</w:t>
            </w:r>
          </w:p>
        </w:tc>
        <w:tc>
          <w:tcPr>
            <w:tcW w:type="dxa" w:w="1247"/>
          </w:tcPr>
          <w:p>
            <w:pPr>
              <w:spacing w:after="0"/>
              <w:jc w:val="center"/>
            </w:pPr>
            <w:r/>
            <w:r>
              <w:rPr>
                <w:rFonts w:ascii="Arial" w:hAnsi="Arial" w:cs="Arial"/>
                <w:b w:val="0"/>
                <w:sz w:val="22"/>
              </w:rPr>
              <w:t>4 (2)</w:t>
            </w:r>
          </w:p>
        </w:tc>
        <w:tc>
          <w:tcPr>
            <w:tcW w:type="dxa" w:w="794"/>
          </w:tcPr>
          <w:p>
            <w:pPr>
              <w:spacing w:after="0"/>
              <w:jc w:val="center"/>
            </w:pPr>
            <w:r/>
            <w:r>
              <w:rPr>
                <w:rFonts w:ascii="Arial" w:hAnsi="Arial" w:cs="Arial"/>
                <w:b w:val="0"/>
                <w:sz w:val="22"/>
              </w:rPr>
              <w:t>75</w:t>
            </w:r>
          </w:p>
        </w:tc>
      </w:tr>
      <w:tr>
        <w:tc>
          <w:tcPr>
            <w:tcW w:type="dxa" w:w="2494"/>
          </w:tcPr>
          <w:p>
            <w:pPr>
              <w:spacing w:after="0"/>
            </w:pPr>
            <w:r/>
            <w:r>
              <w:rPr>
                <w:rFonts w:ascii="Arial" w:hAnsi="Arial" w:cs="Arial"/>
                <w:b w:val="0"/>
                <w:sz w:val="22"/>
              </w:rPr>
              <w:t>γ-Tocotrienol</w:t>
            </w:r>
          </w:p>
        </w:tc>
        <w:tc>
          <w:tcPr>
            <w:tcW w:type="dxa" w:w="907"/>
          </w:tcPr>
          <w:p>
            <w:pPr>
              <w:spacing w:after="0"/>
              <w:jc w:val="center"/>
            </w:pPr>
            <w:r/>
            <w:r>
              <w:rPr>
                <w:rFonts w:ascii="Arial" w:hAnsi="Arial" w:cs="Arial"/>
                <w:b w:val="0"/>
                <w:sz w:val="22"/>
              </w:rPr>
              <w:t>411</w:t>
            </w:r>
          </w:p>
        </w:tc>
        <w:tc>
          <w:tcPr>
            <w:tcW w:type="dxa" w:w="907"/>
          </w:tcPr>
          <w:p>
            <w:pPr>
              <w:spacing w:after="0"/>
              <w:jc w:val="center"/>
            </w:pPr>
            <w:r/>
            <w:r>
              <w:rPr>
                <w:rFonts w:ascii="Arial" w:hAnsi="Arial" w:cs="Arial"/>
                <w:b w:val="0"/>
                <w:sz w:val="22"/>
              </w:rPr>
              <w:t>8.29</w:t>
            </w:r>
          </w:p>
        </w:tc>
        <w:tc>
          <w:tcPr>
            <w:tcW w:type="dxa" w:w="850"/>
          </w:tcPr>
          <w:p>
            <w:pPr>
              <w:spacing w:after="0"/>
              <w:jc w:val="center"/>
            </w:pPr>
            <w:r/>
            <w:r>
              <w:rPr>
                <w:rFonts w:ascii="Arial" w:hAnsi="Arial" w:cs="Arial"/>
                <w:b w:val="0"/>
                <w:sz w:val="22"/>
              </w:rPr>
              <w:t>30</w:t>
            </w:r>
          </w:p>
        </w:tc>
        <w:tc>
          <w:tcPr>
            <w:tcW w:type="dxa" w:w="1644"/>
          </w:tcPr>
          <w:p>
            <w:pPr>
              <w:spacing w:after="0"/>
              <w:jc w:val="center"/>
            </w:pPr>
            <w:r/>
            <w:r>
              <w:rPr>
                <w:rFonts w:ascii="Arial" w:hAnsi="Arial" w:cs="Arial"/>
                <w:b w:val="0"/>
                <w:sz w:val="22"/>
              </w:rPr>
              <w:t>−7.87 ± 0.13</w:t>
            </w:r>
          </w:p>
        </w:tc>
        <w:tc>
          <w:tcPr>
            <w:tcW w:type="dxa" w:w="794"/>
          </w:tcPr>
          <w:p>
            <w:pPr>
              <w:spacing w:after="0"/>
              <w:jc w:val="center"/>
            </w:pPr>
            <w:r/>
            <w:r>
              <w:rPr>
                <w:rFonts w:ascii="Arial" w:hAnsi="Arial" w:cs="Arial"/>
                <w:b w:val="0"/>
                <w:sz w:val="22"/>
              </w:rPr>
              <w:t>0.266</w:t>
            </w:r>
          </w:p>
        </w:tc>
        <w:tc>
          <w:tcPr>
            <w:tcW w:type="dxa" w:w="1247"/>
          </w:tcPr>
          <w:p>
            <w:pPr>
              <w:spacing w:after="0"/>
              <w:jc w:val="center"/>
            </w:pPr>
            <w:r/>
            <w:r>
              <w:rPr>
                <w:rFonts w:ascii="Arial" w:hAnsi="Arial" w:cs="Arial"/>
                <w:b w:val="0"/>
                <w:sz w:val="22"/>
              </w:rPr>
              <w:t>0 (0)</w:t>
            </w:r>
          </w:p>
        </w:tc>
        <w:tc>
          <w:tcPr>
            <w:tcW w:type="dxa" w:w="794"/>
          </w:tcPr>
          <w:p>
            <w:pPr>
              <w:spacing w:after="0"/>
              <w:jc w:val="center"/>
            </w:pPr>
            <w:r/>
            <w:r>
              <w:rPr>
                <w:rFonts w:ascii="Arial" w:hAnsi="Arial" w:cs="Arial"/>
                <w:b w:val="0"/>
                <w:sz w:val="22"/>
              </w:rPr>
              <w:t>48</w:t>
            </w:r>
          </w:p>
        </w:tc>
        <w:tc>
          <w:tcPr>
            <w:tcW w:type="dxa" w:w="1644"/>
          </w:tcPr>
          <w:p>
            <w:pPr>
              <w:spacing w:after="0"/>
              <w:jc w:val="center"/>
            </w:pPr>
            <w:r/>
            <w:r>
              <w:rPr>
                <w:rFonts w:ascii="Arial" w:hAnsi="Arial" w:cs="Arial"/>
                <w:b w:val="0"/>
                <w:sz w:val="22"/>
              </w:rPr>
              <w:t>−8.91 ± 0.49</w:t>
            </w:r>
          </w:p>
        </w:tc>
        <w:tc>
          <w:tcPr>
            <w:tcW w:type="dxa" w:w="794"/>
          </w:tcPr>
          <w:p>
            <w:pPr>
              <w:spacing w:after="0"/>
              <w:jc w:val="center"/>
            </w:pPr>
            <w:r/>
            <w:r>
              <w:rPr>
                <w:rFonts w:ascii="Arial" w:hAnsi="Arial" w:cs="Arial"/>
                <w:b w:val="0"/>
                <w:sz w:val="22"/>
              </w:rPr>
              <w:t>0.309</w:t>
            </w:r>
          </w:p>
        </w:tc>
        <w:tc>
          <w:tcPr>
            <w:tcW w:type="dxa" w:w="1247"/>
          </w:tcPr>
          <w:p>
            <w:pPr>
              <w:spacing w:after="0"/>
              <w:jc w:val="center"/>
            </w:pPr>
            <w:r/>
            <w:r>
              <w:rPr>
                <w:rFonts w:ascii="Arial" w:hAnsi="Arial" w:cs="Arial"/>
                <w:b w:val="0"/>
                <w:sz w:val="22"/>
              </w:rPr>
              <w:t>0 (0)</w:t>
            </w:r>
          </w:p>
        </w:tc>
        <w:tc>
          <w:tcPr>
            <w:tcW w:type="dxa" w:w="794"/>
          </w:tcPr>
          <w:p>
            <w:pPr>
              <w:spacing w:after="0"/>
              <w:jc w:val="center"/>
            </w:pPr>
            <w:r/>
            <w:r>
              <w:rPr>
                <w:rFonts w:ascii="Arial" w:hAnsi="Arial" w:cs="Arial"/>
                <w:b w:val="0"/>
                <w:sz w:val="22"/>
              </w:rPr>
              <w:t>86</w:t>
            </w:r>
          </w:p>
        </w:tc>
      </w:tr>
      <w:tr>
        <w:tc>
          <w:tcPr>
            <w:tcW w:type="dxa" w:w="2494"/>
          </w:tcPr>
          <w:p>
            <w:pPr>
              <w:spacing w:after="0"/>
            </w:pPr>
            <w:r/>
            <w:r>
              <w:rPr>
                <w:rFonts w:ascii="Arial" w:hAnsi="Arial" w:cs="Arial"/>
                <w:b w:val="0"/>
                <w:sz w:val="22"/>
              </w:rPr>
              <w:t>Quercetin</w:t>
            </w:r>
          </w:p>
        </w:tc>
        <w:tc>
          <w:tcPr>
            <w:tcW w:type="dxa" w:w="907"/>
          </w:tcPr>
          <w:p>
            <w:pPr>
              <w:spacing w:after="0"/>
              <w:jc w:val="center"/>
            </w:pPr>
            <w:r/>
            <w:r>
              <w:rPr>
                <w:rFonts w:ascii="Arial" w:hAnsi="Arial" w:cs="Arial"/>
                <w:b w:val="0"/>
                <w:sz w:val="22"/>
              </w:rPr>
              <w:t>302</w:t>
            </w:r>
          </w:p>
        </w:tc>
        <w:tc>
          <w:tcPr>
            <w:tcW w:type="dxa" w:w="907"/>
          </w:tcPr>
          <w:p>
            <w:pPr>
              <w:spacing w:after="0"/>
              <w:jc w:val="center"/>
            </w:pPr>
            <w:r/>
            <w:r>
              <w:rPr>
                <w:rFonts w:ascii="Arial" w:hAnsi="Arial" w:cs="Arial"/>
                <w:b w:val="0"/>
                <w:sz w:val="22"/>
              </w:rPr>
              <w:t>1.99</w:t>
            </w:r>
          </w:p>
        </w:tc>
        <w:tc>
          <w:tcPr>
            <w:tcW w:type="dxa" w:w="850"/>
          </w:tcPr>
          <w:p>
            <w:pPr>
              <w:spacing w:after="0"/>
              <w:jc w:val="center"/>
            </w:pPr>
            <w:r/>
            <w:r>
              <w:rPr>
                <w:rFonts w:ascii="Arial" w:hAnsi="Arial" w:cs="Arial"/>
                <w:b w:val="0"/>
                <w:sz w:val="22"/>
              </w:rPr>
              <w:t>22</w:t>
            </w:r>
          </w:p>
        </w:tc>
        <w:tc>
          <w:tcPr>
            <w:tcW w:type="dxa" w:w="1644"/>
          </w:tcPr>
          <w:p>
            <w:pPr>
              <w:spacing w:after="0"/>
              <w:jc w:val="center"/>
            </w:pPr>
            <w:r/>
            <w:r>
              <w:rPr>
                <w:rFonts w:ascii="Arial" w:hAnsi="Arial" w:cs="Arial"/>
                <w:b w:val="0"/>
                <w:sz w:val="22"/>
              </w:rPr>
              <w:t>−7.46 ± 0.01</w:t>
            </w:r>
          </w:p>
        </w:tc>
        <w:tc>
          <w:tcPr>
            <w:tcW w:type="dxa" w:w="794"/>
          </w:tcPr>
          <w:p>
            <w:pPr>
              <w:spacing w:after="0"/>
              <w:jc w:val="center"/>
            </w:pPr>
            <w:r/>
            <w:r>
              <w:rPr>
                <w:rFonts w:ascii="Arial" w:hAnsi="Arial" w:cs="Arial"/>
                <w:b w:val="0"/>
                <w:sz w:val="22"/>
              </w:rPr>
              <w:t>0.340</w:t>
            </w:r>
          </w:p>
        </w:tc>
        <w:tc>
          <w:tcPr>
            <w:tcW w:type="dxa" w:w="1247"/>
          </w:tcPr>
          <w:p>
            <w:pPr>
              <w:spacing w:after="0"/>
              <w:jc w:val="center"/>
            </w:pPr>
            <w:r/>
            <w:r>
              <w:rPr>
                <w:rFonts w:ascii="Arial" w:hAnsi="Arial" w:cs="Arial"/>
                <w:b w:val="0"/>
                <w:sz w:val="22"/>
              </w:rPr>
              <w:t>4 (2)</w:t>
            </w:r>
          </w:p>
        </w:tc>
        <w:tc>
          <w:tcPr>
            <w:tcW w:type="dxa" w:w="794"/>
          </w:tcPr>
          <w:p>
            <w:pPr>
              <w:spacing w:after="0"/>
              <w:jc w:val="center"/>
            </w:pPr>
            <w:r/>
            <w:r>
              <w:rPr>
                <w:rFonts w:ascii="Arial" w:hAnsi="Arial" w:cs="Arial"/>
                <w:b w:val="0"/>
                <w:sz w:val="22"/>
              </w:rPr>
              <w:t>75</w:t>
            </w:r>
          </w:p>
        </w:tc>
        <w:tc>
          <w:tcPr>
            <w:tcW w:type="dxa" w:w="1644"/>
          </w:tcPr>
          <w:p>
            <w:pPr>
              <w:spacing w:after="0"/>
              <w:jc w:val="center"/>
            </w:pPr>
            <w:r/>
            <w:r>
              <w:rPr>
                <w:rFonts w:ascii="Arial" w:hAnsi="Arial" w:cs="Arial"/>
                <w:b w:val="0"/>
                <w:sz w:val="22"/>
              </w:rPr>
              <w:t>−8.95 ± 0.00</w:t>
            </w:r>
          </w:p>
        </w:tc>
        <w:tc>
          <w:tcPr>
            <w:tcW w:type="dxa" w:w="794"/>
          </w:tcPr>
          <w:p>
            <w:pPr>
              <w:spacing w:after="0"/>
              <w:jc w:val="center"/>
            </w:pPr>
            <w:r/>
            <w:r>
              <w:rPr>
                <w:rFonts w:ascii="Arial" w:hAnsi="Arial" w:cs="Arial"/>
                <w:b w:val="0"/>
                <w:sz w:val="22"/>
              </w:rPr>
              <w:t>0.407</w:t>
            </w:r>
          </w:p>
        </w:tc>
        <w:tc>
          <w:tcPr>
            <w:tcW w:type="dxa" w:w="1247"/>
          </w:tcPr>
          <w:p>
            <w:pPr>
              <w:spacing w:after="0"/>
              <w:jc w:val="center"/>
            </w:pPr>
            <w:r/>
            <w:r>
              <w:rPr>
                <w:rFonts w:ascii="Arial" w:hAnsi="Arial" w:cs="Arial"/>
                <w:b w:val="0"/>
                <w:sz w:val="22"/>
              </w:rPr>
              <w:t>7 (3)</w:t>
            </w:r>
          </w:p>
        </w:tc>
        <w:tc>
          <w:tcPr>
            <w:tcW w:type="dxa" w:w="794"/>
          </w:tcPr>
          <w:p>
            <w:pPr>
              <w:spacing w:after="0"/>
              <w:jc w:val="center"/>
            </w:pPr>
            <w:r/>
            <w:r>
              <w:rPr>
                <w:rFonts w:ascii="Arial" w:hAnsi="Arial" w:cs="Arial"/>
                <w:b w:val="0"/>
                <w:sz w:val="22"/>
              </w:rPr>
              <w:t>96</w:t>
            </w:r>
          </w:p>
        </w:tc>
      </w:tr>
      <w:tr>
        <w:tc>
          <w:tcPr>
            <w:tcW w:type="dxa" w:w="2494"/>
          </w:tcPr>
          <w:p>
            <w:pPr>
              <w:spacing w:after="0"/>
            </w:pPr>
            <w:r/>
            <w:r>
              <w:rPr>
                <w:rFonts w:ascii="Arial" w:hAnsi="Arial" w:cs="Arial"/>
                <w:b w:val="0"/>
                <w:sz w:val="22"/>
              </w:rPr>
              <w:t>Cyanidin-3-O-glucoside</w:t>
            </w:r>
          </w:p>
        </w:tc>
        <w:tc>
          <w:tcPr>
            <w:tcW w:type="dxa" w:w="907"/>
          </w:tcPr>
          <w:p>
            <w:pPr>
              <w:spacing w:after="0"/>
              <w:jc w:val="center"/>
            </w:pPr>
            <w:r/>
            <w:r>
              <w:rPr>
                <w:rFonts w:ascii="Arial" w:hAnsi="Arial" w:cs="Arial"/>
                <w:b w:val="0"/>
                <w:sz w:val="22"/>
              </w:rPr>
              <w:t>449</w:t>
            </w:r>
          </w:p>
        </w:tc>
        <w:tc>
          <w:tcPr>
            <w:tcW w:type="dxa" w:w="907"/>
          </w:tcPr>
          <w:p>
            <w:pPr>
              <w:spacing w:after="0"/>
              <w:jc w:val="center"/>
            </w:pPr>
            <w:r/>
            <w:r>
              <w:rPr>
                <w:rFonts w:ascii="Arial" w:hAnsi="Arial" w:cs="Arial"/>
                <w:b w:val="0"/>
                <w:sz w:val="22"/>
              </w:rPr>
              <w:t>0.38</w:t>
            </w:r>
          </w:p>
        </w:tc>
        <w:tc>
          <w:tcPr>
            <w:tcW w:type="dxa" w:w="850"/>
          </w:tcPr>
          <w:p>
            <w:pPr>
              <w:spacing w:after="0"/>
              <w:jc w:val="center"/>
            </w:pPr>
            <w:r/>
            <w:r>
              <w:rPr>
                <w:rFonts w:ascii="Arial" w:hAnsi="Arial" w:cs="Arial"/>
                <w:b w:val="0"/>
                <w:sz w:val="22"/>
              </w:rPr>
              <w:t>32</w:t>
            </w:r>
          </w:p>
        </w:tc>
        <w:tc>
          <w:tcPr>
            <w:tcW w:type="dxa" w:w="1644"/>
          </w:tcPr>
          <w:p>
            <w:pPr>
              <w:spacing w:after="0"/>
              <w:jc w:val="center"/>
            </w:pPr>
            <w:r/>
            <w:r>
              <w:rPr>
                <w:rFonts w:ascii="Arial" w:hAnsi="Arial" w:cs="Arial"/>
                <w:b w:val="0"/>
                <w:sz w:val="22"/>
              </w:rPr>
              <w:t>−7.71 ± 0.02</w:t>
            </w:r>
          </w:p>
        </w:tc>
        <w:tc>
          <w:tcPr>
            <w:tcW w:type="dxa" w:w="794"/>
          </w:tcPr>
          <w:p>
            <w:pPr>
              <w:spacing w:after="0"/>
              <w:jc w:val="center"/>
            </w:pPr>
            <w:r/>
            <w:r>
              <w:rPr>
                <w:rFonts w:ascii="Arial" w:hAnsi="Arial" w:cs="Arial"/>
                <w:b w:val="0"/>
                <w:sz w:val="22"/>
              </w:rPr>
              <w:t>0.242</w:t>
            </w:r>
          </w:p>
        </w:tc>
        <w:tc>
          <w:tcPr>
            <w:tcW w:type="dxa" w:w="1247"/>
          </w:tcPr>
          <w:p>
            <w:pPr>
              <w:spacing w:after="0"/>
              <w:jc w:val="center"/>
            </w:pPr>
            <w:r/>
            <w:r>
              <w:rPr>
                <w:rFonts w:ascii="Arial" w:hAnsi="Arial" w:cs="Arial"/>
                <w:b w:val="0"/>
                <w:sz w:val="22"/>
              </w:rPr>
              <w:t>7 (3)</w:t>
            </w:r>
          </w:p>
        </w:tc>
        <w:tc>
          <w:tcPr>
            <w:tcW w:type="dxa" w:w="794"/>
          </w:tcPr>
          <w:p>
            <w:pPr>
              <w:spacing w:after="0"/>
              <w:jc w:val="center"/>
            </w:pPr>
            <w:r/>
            <w:r>
              <w:rPr>
                <w:rFonts w:ascii="Arial" w:hAnsi="Arial" w:cs="Arial"/>
                <w:b w:val="0"/>
                <w:sz w:val="22"/>
              </w:rPr>
              <w:t>62</w:t>
            </w:r>
          </w:p>
        </w:tc>
        <w:tc>
          <w:tcPr>
            <w:tcW w:type="dxa" w:w="1644"/>
          </w:tcPr>
          <w:p>
            <w:pPr>
              <w:spacing w:after="0"/>
              <w:jc w:val="center"/>
            </w:pPr>
            <w:r/>
            <w:r>
              <w:rPr>
                <w:rFonts w:ascii="Arial" w:hAnsi="Arial" w:cs="Arial"/>
                <w:b w:val="0"/>
                <w:sz w:val="22"/>
              </w:rPr>
              <w:t>−8.09 ± 0.02</w:t>
            </w:r>
          </w:p>
        </w:tc>
        <w:tc>
          <w:tcPr>
            <w:tcW w:type="dxa" w:w="794"/>
          </w:tcPr>
          <w:p>
            <w:pPr>
              <w:spacing w:after="0"/>
              <w:jc w:val="center"/>
            </w:pPr>
            <w:r/>
            <w:r>
              <w:rPr>
                <w:rFonts w:ascii="Arial" w:hAnsi="Arial" w:cs="Arial"/>
                <w:b w:val="0"/>
                <w:sz w:val="22"/>
              </w:rPr>
              <w:t>0.253</w:t>
            </w:r>
          </w:p>
        </w:tc>
        <w:tc>
          <w:tcPr>
            <w:tcW w:type="dxa" w:w="1247"/>
          </w:tcPr>
          <w:p>
            <w:pPr>
              <w:spacing w:after="0"/>
              <w:jc w:val="center"/>
            </w:pPr>
            <w:r/>
            <w:r>
              <w:rPr>
                <w:rFonts w:ascii="Arial" w:hAnsi="Arial" w:cs="Arial"/>
                <w:b w:val="0"/>
                <w:sz w:val="22"/>
              </w:rPr>
              <w:t>8 (3)</w:t>
            </w:r>
          </w:p>
        </w:tc>
        <w:tc>
          <w:tcPr>
            <w:tcW w:type="dxa" w:w="794"/>
          </w:tcPr>
          <w:p>
            <w:pPr>
              <w:spacing w:after="0"/>
              <w:jc w:val="center"/>
            </w:pPr>
            <w:r/>
            <w:r>
              <w:rPr>
                <w:rFonts w:ascii="Arial" w:hAnsi="Arial" w:cs="Arial"/>
                <w:b w:val="0"/>
                <w:sz w:val="22"/>
              </w:rPr>
              <w:t>76</w:t>
            </w:r>
          </w:p>
        </w:tc>
      </w:tr>
      <w:tr>
        <w:tc>
          <w:tcPr>
            <w:tcW w:type="dxa" w:w="2494"/>
          </w:tcPr>
          <w:p>
            <w:pPr>
              <w:spacing w:after="0"/>
            </w:pPr>
            <w:r/>
            <w:r>
              <w:rPr>
                <w:rFonts w:ascii="Arial" w:hAnsi="Arial" w:cs="Arial"/>
                <w:b w:val="0"/>
                <w:sz w:val="22"/>
              </w:rPr>
              <w:t>Peonidin-3-O-glucoside</w:t>
            </w:r>
          </w:p>
        </w:tc>
        <w:tc>
          <w:tcPr>
            <w:tcW w:type="dxa" w:w="907"/>
          </w:tcPr>
          <w:p>
            <w:pPr>
              <w:spacing w:after="0"/>
              <w:jc w:val="center"/>
            </w:pPr>
            <w:r/>
            <w:r>
              <w:rPr>
                <w:rFonts w:ascii="Arial" w:hAnsi="Arial" w:cs="Arial"/>
                <w:b w:val="0"/>
                <w:sz w:val="22"/>
              </w:rPr>
              <w:t>463</w:t>
            </w:r>
          </w:p>
        </w:tc>
        <w:tc>
          <w:tcPr>
            <w:tcW w:type="dxa" w:w="907"/>
          </w:tcPr>
          <w:p>
            <w:pPr>
              <w:spacing w:after="0"/>
              <w:jc w:val="center"/>
            </w:pPr>
            <w:r/>
            <w:r>
              <w:rPr>
                <w:rFonts w:ascii="Arial" w:hAnsi="Arial" w:cs="Arial"/>
                <w:b w:val="0"/>
                <w:sz w:val="22"/>
              </w:rPr>
              <w:t>0.68</w:t>
            </w:r>
          </w:p>
        </w:tc>
        <w:tc>
          <w:tcPr>
            <w:tcW w:type="dxa" w:w="850"/>
          </w:tcPr>
          <w:p>
            <w:pPr>
              <w:spacing w:after="0"/>
              <w:jc w:val="center"/>
            </w:pPr>
            <w:r/>
            <w:r>
              <w:rPr>
                <w:rFonts w:ascii="Arial" w:hAnsi="Arial" w:cs="Arial"/>
                <w:b w:val="0"/>
                <w:sz w:val="22"/>
              </w:rPr>
              <w:t>33</w:t>
            </w:r>
          </w:p>
        </w:tc>
        <w:tc>
          <w:tcPr>
            <w:tcW w:type="dxa" w:w="1644"/>
          </w:tcPr>
          <w:p>
            <w:pPr>
              <w:spacing w:after="0"/>
              <w:jc w:val="center"/>
            </w:pPr>
            <w:r/>
            <w:r>
              <w:rPr>
                <w:rFonts w:ascii="Arial" w:hAnsi="Arial" w:cs="Arial"/>
                <w:b w:val="0"/>
                <w:sz w:val="22"/>
              </w:rPr>
              <w:t>−7.64 ± 0.01</w:t>
            </w:r>
          </w:p>
        </w:tc>
        <w:tc>
          <w:tcPr>
            <w:tcW w:type="dxa" w:w="794"/>
          </w:tcPr>
          <w:p>
            <w:pPr>
              <w:spacing w:after="0"/>
              <w:jc w:val="center"/>
            </w:pPr>
            <w:r/>
            <w:r>
              <w:rPr>
                <w:rFonts w:ascii="Arial" w:hAnsi="Arial" w:cs="Arial"/>
                <w:b w:val="0"/>
                <w:sz w:val="22"/>
              </w:rPr>
              <w:t>0.232</w:t>
            </w:r>
          </w:p>
        </w:tc>
        <w:tc>
          <w:tcPr>
            <w:tcW w:type="dxa" w:w="1247"/>
          </w:tcPr>
          <w:p>
            <w:pPr>
              <w:spacing w:after="0"/>
              <w:jc w:val="center"/>
            </w:pPr>
            <w:r/>
            <w:r>
              <w:rPr>
                <w:rFonts w:ascii="Arial" w:hAnsi="Arial" w:cs="Arial"/>
                <w:b w:val="0"/>
                <w:sz w:val="22"/>
              </w:rPr>
              <w:t>8 (3)</w:t>
            </w:r>
          </w:p>
        </w:tc>
        <w:tc>
          <w:tcPr>
            <w:tcW w:type="dxa" w:w="794"/>
          </w:tcPr>
          <w:p>
            <w:pPr>
              <w:spacing w:after="0"/>
              <w:jc w:val="center"/>
            </w:pPr>
            <w:r/>
            <w:r>
              <w:rPr>
                <w:rFonts w:ascii="Arial" w:hAnsi="Arial" w:cs="Arial"/>
                <w:b w:val="0"/>
                <w:sz w:val="22"/>
              </w:rPr>
              <w:t>63</w:t>
            </w:r>
          </w:p>
        </w:tc>
        <w:tc>
          <w:tcPr>
            <w:tcW w:type="dxa" w:w="1644"/>
          </w:tcPr>
          <w:p>
            <w:pPr>
              <w:spacing w:after="0"/>
              <w:jc w:val="center"/>
            </w:pPr>
            <w:r/>
            <w:r>
              <w:rPr>
                <w:rFonts w:ascii="Arial" w:hAnsi="Arial" w:cs="Arial"/>
                <w:b w:val="0"/>
                <w:sz w:val="22"/>
              </w:rPr>
              <w:t>−8.09 ± 0.01</w:t>
            </w:r>
          </w:p>
        </w:tc>
        <w:tc>
          <w:tcPr>
            <w:tcW w:type="dxa" w:w="794"/>
          </w:tcPr>
          <w:p>
            <w:pPr>
              <w:spacing w:after="0"/>
              <w:jc w:val="center"/>
            </w:pPr>
            <w:r/>
            <w:r>
              <w:rPr>
                <w:rFonts w:ascii="Arial" w:hAnsi="Arial" w:cs="Arial"/>
                <w:b w:val="0"/>
                <w:sz w:val="22"/>
              </w:rPr>
              <w:t>0.245</w:t>
            </w:r>
          </w:p>
        </w:tc>
        <w:tc>
          <w:tcPr>
            <w:tcW w:type="dxa" w:w="1247"/>
          </w:tcPr>
          <w:p>
            <w:pPr>
              <w:spacing w:after="0"/>
              <w:jc w:val="center"/>
            </w:pPr>
            <w:r/>
            <w:r>
              <w:rPr>
                <w:rFonts w:ascii="Arial" w:hAnsi="Arial" w:cs="Arial"/>
                <w:b w:val="0"/>
                <w:sz w:val="22"/>
              </w:rPr>
              <w:t>6 (2)</w:t>
            </w:r>
          </w:p>
        </w:tc>
        <w:tc>
          <w:tcPr>
            <w:tcW w:type="dxa" w:w="794"/>
          </w:tcPr>
          <w:p>
            <w:pPr>
              <w:spacing w:after="0"/>
              <w:jc w:val="center"/>
            </w:pPr>
            <w:r/>
            <w:r>
              <w:rPr>
                <w:rFonts w:ascii="Arial" w:hAnsi="Arial" w:cs="Arial"/>
                <w:b w:val="0"/>
                <w:sz w:val="22"/>
              </w:rPr>
              <w:t>73</w:t>
            </w:r>
          </w:p>
        </w:tc>
      </w:tr>
      <w:tr>
        <w:tc>
          <w:tcPr>
            <w:tcW w:type="dxa" w:w="2494"/>
          </w:tcPr>
          <w:p>
            <w:pPr>
              <w:spacing w:after="0"/>
            </w:pPr>
            <w:r/>
            <w:r>
              <w:rPr>
                <w:rFonts w:ascii="Arial" w:hAnsi="Arial" w:cs="Arial"/>
                <w:b w:val="0"/>
                <w:sz w:val="22"/>
              </w:rPr>
              <w:t>Acarbose (reference drug)</w:t>
            </w:r>
          </w:p>
        </w:tc>
        <w:tc>
          <w:tcPr>
            <w:tcW w:type="dxa" w:w="907"/>
          </w:tcPr>
          <w:p>
            <w:pPr>
              <w:spacing w:after="0"/>
              <w:jc w:val="center"/>
            </w:pPr>
            <w:r/>
            <w:r>
              <w:rPr>
                <w:rFonts w:ascii="Arial" w:hAnsi="Arial" w:cs="Arial"/>
                <w:b w:val="0"/>
                <w:sz w:val="22"/>
              </w:rPr>
              <w:t>646</w:t>
            </w:r>
          </w:p>
        </w:tc>
        <w:tc>
          <w:tcPr>
            <w:tcW w:type="dxa" w:w="907"/>
          </w:tcPr>
          <w:p>
            <w:pPr>
              <w:spacing w:after="0"/>
              <w:jc w:val="center"/>
            </w:pPr>
            <w:r/>
            <w:r>
              <w:rPr>
                <w:rFonts w:ascii="Arial" w:hAnsi="Arial" w:cs="Arial"/>
                <w:b w:val="0"/>
                <w:sz w:val="22"/>
              </w:rPr>
              <w:t>−8.56</w:t>
            </w:r>
          </w:p>
        </w:tc>
        <w:tc>
          <w:tcPr>
            <w:tcW w:type="dxa" w:w="850"/>
          </w:tcPr>
          <w:p>
            <w:pPr>
              <w:spacing w:after="0"/>
              <w:jc w:val="center"/>
            </w:pPr>
            <w:r/>
            <w:r>
              <w:rPr>
                <w:rFonts w:ascii="Arial" w:hAnsi="Arial" w:cs="Arial"/>
                <w:b w:val="0"/>
                <w:sz w:val="22"/>
              </w:rPr>
              <w:t>44</w:t>
            </w:r>
          </w:p>
        </w:tc>
        <w:tc>
          <w:tcPr>
            <w:tcW w:type="dxa" w:w="1644"/>
          </w:tcPr>
          <w:p>
            <w:pPr>
              <w:spacing w:after="0"/>
              <w:jc w:val="center"/>
            </w:pPr>
            <w:r/>
            <w:r>
              <w:rPr>
                <w:rFonts w:ascii="Arial" w:hAnsi="Arial" w:cs="Arial"/>
                <w:b w:val="0"/>
                <w:sz w:val="22"/>
              </w:rPr>
              <w:t>−6.06 ± 0.01</w:t>
            </w:r>
          </w:p>
        </w:tc>
        <w:tc>
          <w:tcPr>
            <w:tcW w:type="dxa" w:w="794"/>
          </w:tcPr>
          <w:p>
            <w:pPr>
              <w:spacing w:after="0"/>
              <w:jc w:val="center"/>
            </w:pPr>
            <w:r/>
            <w:r>
              <w:rPr>
                <w:rFonts w:ascii="Arial" w:hAnsi="Arial" w:cs="Arial"/>
                <w:b w:val="0"/>
                <w:sz w:val="22"/>
              </w:rPr>
              <w:t>0.138</w:t>
            </w:r>
          </w:p>
        </w:tc>
        <w:tc>
          <w:tcPr>
            <w:tcW w:type="dxa" w:w="1247"/>
          </w:tcPr>
          <w:p>
            <w:pPr>
              <w:spacing w:after="0"/>
              <w:jc w:val="center"/>
            </w:pPr>
            <w:r/>
            <w:r>
              <w:rPr>
                <w:rFonts w:ascii="Arial" w:hAnsi="Arial" w:cs="Arial"/>
                <w:b w:val="0"/>
                <w:sz w:val="22"/>
              </w:rPr>
              <w:t>5 (2)</w:t>
            </w:r>
          </w:p>
        </w:tc>
        <w:tc>
          <w:tcPr>
            <w:tcW w:type="dxa" w:w="794"/>
          </w:tcPr>
          <w:p>
            <w:pPr>
              <w:spacing w:after="0"/>
              <w:jc w:val="center"/>
            </w:pPr>
            <w:r/>
            <w:r>
              <w:rPr>
                <w:rFonts w:ascii="Arial" w:hAnsi="Arial" w:cs="Arial"/>
                <w:b w:val="0"/>
                <w:sz w:val="22"/>
              </w:rPr>
              <w:t>54</w:t>
            </w:r>
          </w:p>
        </w:tc>
        <w:tc>
          <w:tcPr>
            <w:tcW w:type="dxa" w:w="1644"/>
          </w:tcPr>
          <w:p>
            <w:pPr>
              <w:spacing w:after="0"/>
              <w:jc w:val="center"/>
            </w:pPr>
            <w:r/>
            <w:r>
              <w:rPr>
                <w:rFonts w:ascii="Arial" w:hAnsi="Arial" w:cs="Arial"/>
                <w:b w:val="0"/>
                <w:sz w:val="22"/>
              </w:rPr>
              <w:t>−8.69 ± 0.01</w:t>
            </w:r>
          </w:p>
        </w:tc>
        <w:tc>
          <w:tcPr>
            <w:tcW w:type="dxa" w:w="794"/>
          </w:tcPr>
          <w:p>
            <w:pPr>
              <w:spacing w:after="0"/>
              <w:jc w:val="center"/>
            </w:pPr>
            <w:r/>
            <w:r>
              <w:rPr>
                <w:rFonts w:ascii="Arial" w:hAnsi="Arial" w:cs="Arial"/>
                <w:b w:val="0"/>
                <w:sz w:val="22"/>
              </w:rPr>
              <w:t>0.198</w:t>
            </w:r>
          </w:p>
        </w:tc>
        <w:tc>
          <w:tcPr>
            <w:tcW w:type="dxa" w:w="1247"/>
          </w:tcPr>
          <w:p>
            <w:pPr>
              <w:spacing w:after="0"/>
              <w:jc w:val="center"/>
            </w:pPr>
            <w:r/>
            <w:r>
              <w:rPr>
                <w:rFonts w:ascii="Arial" w:hAnsi="Arial" w:cs="Arial"/>
                <w:b w:val="0"/>
                <w:sz w:val="22"/>
              </w:rPr>
              <w:t>8 (2)</w:t>
            </w:r>
          </w:p>
        </w:tc>
        <w:tc>
          <w:tcPr>
            <w:tcW w:type="dxa" w:w="794"/>
          </w:tcPr>
          <w:p>
            <w:pPr>
              <w:spacing w:after="0"/>
              <w:jc w:val="center"/>
            </w:pPr>
            <w:r/>
            <w:r>
              <w:rPr>
                <w:rFonts w:ascii="Arial" w:hAnsi="Arial" w:cs="Arial"/>
                <w:b w:val="0"/>
                <w:sz w:val="22"/>
              </w:rPr>
              <w:t>81</w:t>
            </w:r>
          </w:p>
        </w:tc>
      </w:tr>
      <w:tr>
        <w:tc>
          <w:tcPr>
            <w:tcW w:type="dxa" w:w="2494"/>
          </w:tcPr>
          <w:p>
            <w:pPr>
              <w:spacing w:after="0"/>
            </w:pPr>
            <w:r/>
            <w:r>
              <w:rPr>
                <w:rFonts w:ascii="Arial" w:hAnsi="Arial" w:cs="Arial"/>
                <w:b w:val="0"/>
                <w:sz w:val="22"/>
              </w:rPr>
              <w:t>α-Tocopherol</w:t>
            </w:r>
          </w:p>
        </w:tc>
        <w:tc>
          <w:tcPr>
            <w:tcW w:type="dxa" w:w="907"/>
          </w:tcPr>
          <w:p>
            <w:pPr>
              <w:spacing w:after="0"/>
              <w:jc w:val="center"/>
            </w:pPr>
            <w:r/>
            <w:r>
              <w:rPr>
                <w:rFonts w:ascii="Arial" w:hAnsi="Arial" w:cs="Arial"/>
                <w:b w:val="0"/>
                <w:sz w:val="22"/>
              </w:rPr>
              <w:t>431</w:t>
            </w:r>
          </w:p>
        </w:tc>
        <w:tc>
          <w:tcPr>
            <w:tcW w:type="dxa" w:w="907"/>
          </w:tcPr>
          <w:p>
            <w:pPr>
              <w:spacing w:after="0"/>
              <w:jc w:val="center"/>
            </w:pPr>
            <w:r/>
            <w:r>
              <w:rPr>
                <w:rFonts w:ascii="Arial" w:hAnsi="Arial" w:cs="Arial"/>
                <w:b w:val="0"/>
                <w:sz w:val="22"/>
              </w:rPr>
              <w:t>8.84</w:t>
            </w:r>
          </w:p>
        </w:tc>
        <w:tc>
          <w:tcPr>
            <w:tcW w:type="dxa" w:w="850"/>
          </w:tcPr>
          <w:p>
            <w:pPr>
              <w:spacing w:after="0"/>
              <w:jc w:val="center"/>
            </w:pPr>
            <w:r/>
            <w:r>
              <w:rPr>
                <w:rFonts w:ascii="Arial" w:hAnsi="Arial" w:cs="Arial"/>
                <w:b w:val="0"/>
                <w:sz w:val="22"/>
              </w:rPr>
              <w:t>31</w:t>
            </w:r>
          </w:p>
        </w:tc>
        <w:tc>
          <w:tcPr>
            <w:tcW w:type="dxa" w:w="1644"/>
          </w:tcPr>
          <w:p>
            <w:pPr>
              <w:spacing w:after="0"/>
              <w:jc w:val="center"/>
            </w:pPr>
            <w:r/>
            <w:r>
              <w:rPr>
                <w:rFonts w:ascii="Arial" w:hAnsi="Arial" w:cs="Arial"/>
                <w:b w:val="0"/>
                <w:sz w:val="22"/>
              </w:rPr>
              <w:t>−6.95 ± 0.22</w:t>
            </w:r>
          </w:p>
        </w:tc>
        <w:tc>
          <w:tcPr>
            <w:tcW w:type="dxa" w:w="794"/>
          </w:tcPr>
          <w:p>
            <w:pPr>
              <w:spacing w:after="0"/>
              <w:jc w:val="center"/>
            </w:pPr>
            <w:r/>
            <w:r>
              <w:rPr>
                <w:rFonts w:ascii="Arial" w:hAnsi="Arial" w:cs="Arial"/>
                <w:b w:val="0"/>
                <w:sz w:val="22"/>
              </w:rPr>
              <w:t>0.231</w:t>
            </w:r>
          </w:p>
        </w:tc>
        <w:tc>
          <w:tcPr>
            <w:tcW w:type="dxa" w:w="1247"/>
          </w:tcPr>
          <w:p>
            <w:pPr>
              <w:spacing w:after="0"/>
              <w:jc w:val="center"/>
            </w:pPr>
            <w:r/>
            <w:r>
              <w:rPr>
                <w:rFonts w:ascii="Arial" w:hAnsi="Arial" w:cs="Arial"/>
                <w:b w:val="0"/>
                <w:sz w:val="22"/>
              </w:rPr>
              <w:t>1 (1)</w:t>
            </w:r>
          </w:p>
        </w:tc>
        <w:tc>
          <w:tcPr>
            <w:tcW w:type="dxa" w:w="794"/>
          </w:tcPr>
          <w:p>
            <w:pPr>
              <w:spacing w:after="0"/>
              <w:jc w:val="center"/>
            </w:pPr>
            <w:r/>
            <w:r>
              <w:rPr>
                <w:rFonts w:ascii="Arial" w:hAnsi="Arial" w:cs="Arial"/>
                <w:b w:val="0"/>
                <w:sz w:val="22"/>
              </w:rPr>
              <w:t>55</w:t>
            </w:r>
          </w:p>
        </w:tc>
        <w:tc>
          <w:tcPr>
            <w:tcW w:type="dxa" w:w="1644"/>
          </w:tcPr>
          <w:p>
            <w:pPr>
              <w:spacing w:after="0"/>
              <w:jc w:val="center"/>
            </w:pPr>
            <w:r/>
            <w:r>
              <w:rPr>
                <w:rFonts w:ascii="Arial" w:hAnsi="Arial" w:cs="Arial"/>
                <w:b w:val="0"/>
                <w:sz w:val="22"/>
              </w:rPr>
              <w:t>−7.62 ± 0.11</w:t>
            </w:r>
          </w:p>
        </w:tc>
        <w:tc>
          <w:tcPr>
            <w:tcW w:type="dxa" w:w="794"/>
          </w:tcPr>
          <w:p>
            <w:pPr>
              <w:spacing w:after="0"/>
              <w:jc w:val="center"/>
            </w:pPr>
            <w:r/>
            <w:r>
              <w:rPr>
                <w:rFonts w:ascii="Arial" w:hAnsi="Arial" w:cs="Arial"/>
                <w:b w:val="0"/>
                <w:sz w:val="22"/>
              </w:rPr>
              <w:t>0.248</w:t>
            </w:r>
          </w:p>
        </w:tc>
        <w:tc>
          <w:tcPr>
            <w:tcW w:type="dxa" w:w="1247"/>
          </w:tcPr>
          <w:p>
            <w:pPr>
              <w:spacing w:after="0"/>
              <w:jc w:val="center"/>
            </w:pPr>
            <w:r/>
            <w:r>
              <w:rPr>
                <w:rFonts w:ascii="Arial" w:hAnsi="Arial" w:cs="Arial"/>
                <w:b w:val="0"/>
                <w:sz w:val="22"/>
              </w:rPr>
              <w:t>1 (0)</w:t>
            </w:r>
          </w:p>
        </w:tc>
        <w:tc>
          <w:tcPr>
            <w:tcW w:type="dxa" w:w="794"/>
          </w:tcPr>
          <w:p>
            <w:pPr>
              <w:spacing w:after="0"/>
              <w:jc w:val="center"/>
            </w:pPr>
            <w:r/>
            <w:r>
              <w:rPr>
                <w:rFonts w:ascii="Arial" w:hAnsi="Arial" w:cs="Arial"/>
                <w:b w:val="0"/>
                <w:sz w:val="22"/>
              </w:rPr>
              <w:t>84</w:t>
            </w:r>
          </w:p>
        </w:tc>
      </w:tr>
      <w:tr>
        <w:tc>
          <w:tcPr>
            <w:tcW w:type="dxa" w:w="2494"/>
          </w:tcPr>
          <w:p>
            <w:pPr>
              <w:spacing w:after="0"/>
            </w:pPr>
            <w:r/>
            <w:r>
              <w:rPr>
                <w:rFonts w:ascii="Arial" w:hAnsi="Arial" w:cs="Arial"/>
                <w:b w:val="0"/>
                <w:sz w:val="22"/>
              </w:rPr>
              <w:t>Ferulic acid</w:t>
            </w:r>
          </w:p>
        </w:tc>
        <w:tc>
          <w:tcPr>
            <w:tcW w:type="dxa" w:w="907"/>
          </w:tcPr>
          <w:p>
            <w:pPr>
              <w:spacing w:after="0"/>
              <w:jc w:val="center"/>
            </w:pPr>
            <w:r/>
            <w:r>
              <w:rPr>
                <w:rFonts w:ascii="Arial" w:hAnsi="Arial" w:cs="Arial"/>
                <w:b w:val="0"/>
                <w:sz w:val="22"/>
              </w:rPr>
              <w:t>194</w:t>
            </w:r>
          </w:p>
        </w:tc>
        <w:tc>
          <w:tcPr>
            <w:tcW w:type="dxa" w:w="907"/>
          </w:tcPr>
          <w:p>
            <w:pPr>
              <w:spacing w:after="0"/>
              <w:jc w:val="center"/>
            </w:pPr>
            <w:r/>
            <w:r>
              <w:rPr>
                <w:rFonts w:ascii="Arial" w:hAnsi="Arial" w:cs="Arial"/>
                <w:b w:val="0"/>
                <w:sz w:val="22"/>
              </w:rPr>
              <w:t>1.50</w:t>
            </w:r>
          </w:p>
        </w:tc>
        <w:tc>
          <w:tcPr>
            <w:tcW w:type="dxa" w:w="850"/>
          </w:tcPr>
          <w:p>
            <w:pPr>
              <w:spacing w:after="0"/>
              <w:jc w:val="center"/>
            </w:pPr>
            <w:r/>
            <w:r>
              <w:rPr>
                <w:rFonts w:ascii="Arial" w:hAnsi="Arial" w:cs="Arial"/>
                <w:b w:val="0"/>
                <w:sz w:val="22"/>
              </w:rPr>
              <w:t>14</w:t>
            </w:r>
          </w:p>
        </w:tc>
        <w:tc>
          <w:tcPr>
            <w:tcW w:type="dxa" w:w="1644"/>
          </w:tcPr>
          <w:p>
            <w:pPr>
              <w:spacing w:after="0"/>
              <w:jc w:val="center"/>
            </w:pPr>
            <w:r/>
            <w:r>
              <w:rPr>
                <w:rFonts w:ascii="Arial" w:hAnsi="Arial" w:cs="Arial"/>
                <w:b w:val="0"/>
                <w:sz w:val="22"/>
              </w:rPr>
              <w:t>−5.96 ± 0.08</w:t>
            </w:r>
          </w:p>
        </w:tc>
        <w:tc>
          <w:tcPr>
            <w:tcW w:type="dxa" w:w="794"/>
          </w:tcPr>
          <w:p>
            <w:pPr>
              <w:spacing w:after="0"/>
              <w:jc w:val="center"/>
            </w:pPr>
            <w:r/>
            <w:r>
              <w:rPr>
                <w:rFonts w:ascii="Arial" w:hAnsi="Arial" w:cs="Arial"/>
                <w:b w:val="0"/>
                <w:sz w:val="22"/>
              </w:rPr>
              <w:t>0.432</w:t>
            </w:r>
          </w:p>
        </w:tc>
        <w:tc>
          <w:tcPr>
            <w:tcW w:type="dxa" w:w="1247"/>
          </w:tcPr>
          <w:p>
            <w:pPr>
              <w:spacing w:after="0"/>
              <w:jc w:val="center"/>
            </w:pPr>
            <w:r/>
            <w:r>
              <w:rPr>
                <w:rFonts w:ascii="Arial" w:hAnsi="Arial" w:cs="Arial"/>
                <w:b w:val="0"/>
                <w:sz w:val="22"/>
              </w:rPr>
              <w:t>4 (2)</w:t>
            </w:r>
          </w:p>
        </w:tc>
        <w:tc>
          <w:tcPr>
            <w:tcW w:type="dxa" w:w="794"/>
          </w:tcPr>
          <w:p>
            <w:pPr>
              <w:spacing w:after="0"/>
              <w:jc w:val="center"/>
            </w:pPr>
            <w:r/>
            <w:r>
              <w:rPr>
                <w:rFonts w:ascii="Arial" w:hAnsi="Arial" w:cs="Arial"/>
                <w:b w:val="0"/>
                <w:sz w:val="22"/>
              </w:rPr>
              <w:t>89</w:t>
            </w:r>
          </w:p>
        </w:tc>
        <w:tc>
          <w:tcPr>
            <w:tcW w:type="dxa" w:w="1644"/>
          </w:tcPr>
          <w:p>
            <w:pPr>
              <w:spacing w:after="0"/>
              <w:jc w:val="center"/>
            </w:pPr>
            <w:r/>
            <w:r>
              <w:rPr>
                <w:rFonts w:ascii="Arial" w:hAnsi="Arial" w:cs="Arial"/>
                <w:b w:val="0"/>
                <w:sz w:val="22"/>
              </w:rPr>
              <w:t>−6.56 ± 0.01</w:t>
            </w:r>
          </w:p>
        </w:tc>
        <w:tc>
          <w:tcPr>
            <w:tcW w:type="dxa" w:w="794"/>
          </w:tcPr>
          <w:p>
            <w:pPr>
              <w:spacing w:after="0"/>
              <w:jc w:val="center"/>
            </w:pPr>
            <w:r/>
            <w:r>
              <w:rPr>
                <w:rFonts w:ascii="Arial" w:hAnsi="Arial" w:cs="Arial"/>
                <w:b w:val="0"/>
                <w:sz w:val="22"/>
              </w:rPr>
              <w:t>0.469</w:t>
            </w:r>
          </w:p>
        </w:tc>
        <w:tc>
          <w:tcPr>
            <w:tcW w:type="dxa" w:w="1247"/>
          </w:tcPr>
          <w:p>
            <w:pPr>
              <w:spacing w:after="0"/>
              <w:jc w:val="center"/>
            </w:pPr>
            <w:r/>
            <w:r>
              <w:rPr>
                <w:rFonts w:ascii="Arial" w:hAnsi="Arial" w:cs="Arial"/>
                <w:b w:val="0"/>
                <w:sz w:val="22"/>
              </w:rPr>
              <w:t>4 (2)</w:t>
            </w:r>
          </w:p>
        </w:tc>
        <w:tc>
          <w:tcPr>
            <w:tcW w:type="dxa" w:w="794"/>
          </w:tcPr>
          <w:p>
            <w:pPr>
              <w:spacing w:after="0"/>
              <w:jc w:val="center"/>
            </w:pPr>
            <w:r/>
            <w:r>
              <w:rPr>
                <w:rFonts w:ascii="Arial" w:hAnsi="Arial" w:cs="Arial"/>
                <w:b w:val="0"/>
                <w:sz w:val="22"/>
              </w:rPr>
              <w:t>97</w:t>
            </w:r>
          </w:p>
        </w:tc>
      </w:tr>
      <w:tr>
        <w:tc>
          <w:tcPr>
            <w:tcW w:type="dxa" w:w="2494"/>
          </w:tcPr>
          <w:p>
            <w:pPr>
              <w:spacing w:after="0"/>
            </w:pPr>
            <w:r/>
            <w:r>
              <w:rPr>
                <w:rFonts w:ascii="Arial" w:hAnsi="Arial" w:cs="Arial"/>
                <w:b w:val="0"/>
                <w:sz w:val="22"/>
              </w:rPr>
              <w:t>p-Coumaric acid</w:t>
            </w:r>
          </w:p>
        </w:tc>
        <w:tc>
          <w:tcPr>
            <w:tcW w:type="dxa" w:w="907"/>
          </w:tcPr>
          <w:p>
            <w:pPr>
              <w:spacing w:after="0"/>
              <w:jc w:val="center"/>
            </w:pPr>
            <w:r/>
            <w:r>
              <w:rPr>
                <w:rFonts w:ascii="Arial" w:hAnsi="Arial" w:cs="Arial"/>
                <w:b w:val="0"/>
                <w:sz w:val="22"/>
              </w:rPr>
              <w:t>164</w:t>
            </w:r>
          </w:p>
        </w:tc>
        <w:tc>
          <w:tcPr>
            <w:tcW w:type="dxa" w:w="907"/>
          </w:tcPr>
          <w:p>
            <w:pPr>
              <w:spacing w:after="0"/>
              <w:jc w:val="center"/>
            </w:pPr>
            <w:r/>
            <w:r>
              <w:rPr>
                <w:rFonts w:ascii="Arial" w:hAnsi="Arial" w:cs="Arial"/>
                <w:b w:val="0"/>
                <w:sz w:val="22"/>
              </w:rPr>
              <w:t>1.49</w:t>
            </w:r>
          </w:p>
        </w:tc>
        <w:tc>
          <w:tcPr>
            <w:tcW w:type="dxa" w:w="850"/>
          </w:tcPr>
          <w:p>
            <w:pPr>
              <w:spacing w:after="0"/>
              <w:jc w:val="center"/>
            </w:pPr>
            <w:r/>
            <w:r>
              <w:rPr>
                <w:rFonts w:ascii="Arial" w:hAnsi="Arial" w:cs="Arial"/>
                <w:b w:val="0"/>
                <w:sz w:val="22"/>
              </w:rPr>
              <w:t>12</w:t>
            </w:r>
          </w:p>
        </w:tc>
        <w:tc>
          <w:tcPr>
            <w:tcW w:type="dxa" w:w="1644"/>
          </w:tcPr>
          <w:p>
            <w:pPr>
              <w:spacing w:after="0"/>
              <w:jc w:val="center"/>
            </w:pPr>
            <w:r/>
            <w:r>
              <w:rPr>
                <w:rFonts w:ascii="Arial" w:hAnsi="Arial" w:cs="Arial"/>
                <w:b w:val="0"/>
                <w:sz w:val="22"/>
              </w:rPr>
              <w:t>−6.01 ± 0.01</w:t>
            </w:r>
          </w:p>
        </w:tc>
        <w:tc>
          <w:tcPr>
            <w:tcW w:type="dxa" w:w="794"/>
          </w:tcPr>
          <w:p>
            <w:pPr>
              <w:spacing w:after="0"/>
              <w:jc w:val="center"/>
            </w:pPr>
            <w:r/>
            <w:r>
              <w:rPr>
                <w:rFonts w:ascii="Arial" w:hAnsi="Arial" w:cs="Arial"/>
                <w:b w:val="0"/>
                <w:sz w:val="22"/>
              </w:rPr>
              <w:t>0.502</w:t>
            </w:r>
          </w:p>
        </w:tc>
        <w:tc>
          <w:tcPr>
            <w:tcW w:type="dxa" w:w="1247"/>
          </w:tcPr>
          <w:p>
            <w:pPr>
              <w:spacing w:after="0"/>
              <w:jc w:val="center"/>
            </w:pPr>
            <w:r/>
            <w:r>
              <w:rPr>
                <w:rFonts w:ascii="Arial" w:hAnsi="Arial" w:cs="Arial"/>
                <w:b w:val="0"/>
                <w:sz w:val="22"/>
              </w:rPr>
              <w:t>3 (1)</w:t>
            </w:r>
          </w:p>
        </w:tc>
        <w:tc>
          <w:tcPr>
            <w:tcW w:type="dxa" w:w="794"/>
          </w:tcPr>
          <w:p>
            <w:pPr>
              <w:spacing w:after="0"/>
              <w:jc w:val="center"/>
            </w:pPr>
            <w:r/>
            <w:r>
              <w:rPr>
                <w:rFonts w:ascii="Arial" w:hAnsi="Arial" w:cs="Arial"/>
                <w:b w:val="0"/>
                <w:sz w:val="22"/>
              </w:rPr>
              <w:t>86</w:t>
            </w:r>
          </w:p>
        </w:tc>
        <w:tc>
          <w:tcPr>
            <w:tcW w:type="dxa" w:w="1644"/>
          </w:tcPr>
          <w:p>
            <w:pPr>
              <w:spacing w:after="0"/>
              <w:jc w:val="center"/>
            </w:pPr>
            <w:r/>
            <w:r>
              <w:rPr>
                <w:rFonts w:ascii="Arial" w:hAnsi="Arial" w:cs="Arial"/>
                <w:b w:val="0"/>
                <w:sz w:val="22"/>
              </w:rPr>
              <w:t>−6.46 ± 0.01</w:t>
            </w:r>
          </w:p>
        </w:tc>
        <w:tc>
          <w:tcPr>
            <w:tcW w:type="dxa" w:w="794"/>
          </w:tcPr>
          <w:p>
            <w:pPr>
              <w:spacing w:after="0"/>
              <w:jc w:val="center"/>
            </w:pPr>
            <w:r/>
            <w:r>
              <w:rPr>
                <w:rFonts w:ascii="Arial" w:hAnsi="Arial" w:cs="Arial"/>
                <w:b w:val="0"/>
                <w:sz w:val="22"/>
              </w:rPr>
              <w:t>0.539</w:t>
            </w:r>
          </w:p>
        </w:tc>
        <w:tc>
          <w:tcPr>
            <w:tcW w:type="dxa" w:w="1247"/>
          </w:tcPr>
          <w:p>
            <w:pPr>
              <w:spacing w:after="0"/>
              <w:jc w:val="center"/>
            </w:pPr>
            <w:r/>
            <w:r>
              <w:rPr>
                <w:rFonts w:ascii="Arial" w:hAnsi="Arial" w:cs="Arial"/>
                <w:b w:val="0"/>
                <w:sz w:val="22"/>
              </w:rPr>
              <w:t>6 (2)</w:t>
            </w:r>
          </w:p>
        </w:tc>
        <w:tc>
          <w:tcPr>
            <w:tcW w:type="dxa" w:w="794"/>
          </w:tcPr>
          <w:p>
            <w:pPr>
              <w:spacing w:after="0"/>
              <w:jc w:val="center"/>
            </w:pPr>
            <w:r/>
            <w:r>
              <w:rPr>
                <w:rFonts w:ascii="Arial" w:hAnsi="Arial" w:cs="Arial"/>
                <w:b w:val="0"/>
                <w:sz w:val="22"/>
              </w:rPr>
              <w:t>100</w:t>
            </w:r>
          </w:p>
        </w:tc>
      </w:tr>
      <w:tr>
        <w:tc>
          <w:tcPr>
            <w:tcW w:type="dxa" w:w="2494"/>
          </w:tcPr>
          <w:p>
            <w:pPr>
              <w:spacing w:after="0"/>
            </w:pPr>
            <w:r/>
            <w:r>
              <w:rPr>
                <w:rFonts w:ascii="Arial" w:hAnsi="Arial" w:cs="Arial"/>
                <w:b w:val="0"/>
                <w:sz w:val="22"/>
              </w:rPr>
              <w:t>Protocatechuic acid</w:t>
            </w:r>
          </w:p>
        </w:tc>
        <w:tc>
          <w:tcPr>
            <w:tcW w:type="dxa" w:w="907"/>
          </w:tcPr>
          <w:p>
            <w:pPr>
              <w:spacing w:after="0"/>
              <w:jc w:val="center"/>
            </w:pPr>
            <w:r/>
            <w:r>
              <w:rPr>
                <w:rFonts w:ascii="Arial" w:hAnsi="Arial" w:cs="Arial"/>
                <w:b w:val="0"/>
                <w:sz w:val="22"/>
              </w:rPr>
              <w:t>154</w:t>
            </w:r>
          </w:p>
        </w:tc>
        <w:tc>
          <w:tcPr>
            <w:tcW w:type="dxa" w:w="907"/>
          </w:tcPr>
          <w:p>
            <w:pPr>
              <w:spacing w:after="0"/>
              <w:jc w:val="center"/>
            </w:pPr>
            <w:r/>
            <w:r>
              <w:rPr>
                <w:rFonts w:ascii="Arial" w:hAnsi="Arial" w:cs="Arial"/>
                <w:b w:val="0"/>
                <w:sz w:val="22"/>
              </w:rPr>
              <w:t>0.80</w:t>
            </w:r>
          </w:p>
        </w:tc>
        <w:tc>
          <w:tcPr>
            <w:tcW w:type="dxa" w:w="850"/>
          </w:tcPr>
          <w:p>
            <w:pPr>
              <w:spacing w:after="0"/>
              <w:jc w:val="center"/>
            </w:pPr>
            <w:r/>
            <w:r>
              <w:rPr>
                <w:rFonts w:ascii="Arial" w:hAnsi="Arial" w:cs="Arial"/>
                <w:b w:val="0"/>
                <w:sz w:val="22"/>
              </w:rPr>
              <w:t>11</w:t>
            </w:r>
          </w:p>
        </w:tc>
        <w:tc>
          <w:tcPr>
            <w:tcW w:type="dxa" w:w="1644"/>
          </w:tcPr>
          <w:p>
            <w:pPr>
              <w:spacing w:after="0"/>
              <w:jc w:val="center"/>
            </w:pPr>
            <w:r/>
            <w:r>
              <w:rPr>
                <w:rFonts w:ascii="Arial" w:hAnsi="Arial" w:cs="Arial"/>
                <w:b w:val="0"/>
                <w:sz w:val="22"/>
              </w:rPr>
              <w:t>−5.90 ± 0.01</w:t>
            </w:r>
          </w:p>
        </w:tc>
        <w:tc>
          <w:tcPr>
            <w:tcW w:type="dxa" w:w="794"/>
          </w:tcPr>
          <w:p>
            <w:pPr>
              <w:spacing w:after="0"/>
              <w:jc w:val="center"/>
            </w:pPr>
            <w:r/>
            <w:r>
              <w:rPr>
                <w:rFonts w:ascii="Arial" w:hAnsi="Arial" w:cs="Arial"/>
                <w:b w:val="0"/>
                <w:sz w:val="22"/>
              </w:rPr>
              <w:t>0.536</w:t>
            </w:r>
          </w:p>
        </w:tc>
        <w:tc>
          <w:tcPr>
            <w:tcW w:type="dxa" w:w="1247"/>
          </w:tcPr>
          <w:p>
            <w:pPr>
              <w:spacing w:after="0"/>
              <w:jc w:val="center"/>
            </w:pPr>
            <w:r/>
            <w:r>
              <w:rPr>
                <w:rFonts w:ascii="Arial" w:hAnsi="Arial" w:cs="Arial"/>
                <w:b w:val="0"/>
                <w:sz w:val="22"/>
              </w:rPr>
              <w:t>5 (2)</w:t>
            </w:r>
          </w:p>
        </w:tc>
        <w:tc>
          <w:tcPr>
            <w:tcW w:type="dxa" w:w="794"/>
          </w:tcPr>
          <w:p>
            <w:pPr>
              <w:spacing w:after="0"/>
              <w:jc w:val="center"/>
            </w:pPr>
            <w:r/>
            <w:r>
              <w:rPr>
                <w:rFonts w:ascii="Arial" w:hAnsi="Arial" w:cs="Arial"/>
                <w:b w:val="0"/>
                <w:sz w:val="22"/>
              </w:rPr>
              <w:t>99</w:t>
            </w:r>
          </w:p>
        </w:tc>
        <w:tc>
          <w:tcPr>
            <w:tcW w:type="dxa" w:w="1644"/>
          </w:tcPr>
          <w:p>
            <w:pPr>
              <w:spacing w:after="0"/>
              <w:jc w:val="center"/>
            </w:pPr>
            <w:r/>
            <w:r>
              <w:rPr>
                <w:rFonts w:ascii="Arial" w:hAnsi="Arial" w:cs="Arial"/>
                <w:b w:val="0"/>
                <w:sz w:val="22"/>
              </w:rPr>
              <w:t>−5.74 ± 0.02</w:t>
            </w:r>
          </w:p>
        </w:tc>
        <w:tc>
          <w:tcPr>
            <w:tcW w:type="dxa" w:w="794"/>
          </w:tcPr>
          <w:p>
            <w:pPr>
              <w:spacing w:after="0"/>
              <w:jc w:val="center"/>
            </w:pPr>
            <w:r/>
            <w:r>
              <w:rPr>
                <w:rFonts w:ascii="Arial" w:hAnsi="Arial" w:cs="Arial"/>
                <w:b w:val="0"/>
                <w:sz w:val="22"/>
              </w:rPr>
              <w:t>0.524</w:t>
            </w:r>
          </w:p>
        </w:tc>
        <w:tc>
          <w:tcPr>
            <w:tcW w:type="dxa" w:w="1247"/>
          </w:tcPr>
          <w:p>
            <w:pPr>
              <w:spacing w:after="0"/>
              <w:jc w:val="center"/>
            </w:pPr>
            <w:r/>
            <w:r>
              <w:rPr>
                <w:rFonts w:ascii="Arial" w:hAnsi="Arial" w:cs="Arial"/>
                <w:b w:val="0"/>
                <w:sz w:val="22"/>
              </w:rPr>
              <w:t>7 (3)</w:t>
            </w:r>
          </w:p>
        </w:tc>
        <w:tc>
          <w:tcPr>
            <w:tcW w:type="dxa" w:w="794"/>
          </w:tcPr>
          <w:p>
            <w:pPr>
              <w:spacing w:after="0"/>
              <w:jc w:val="center"/>
            </w:pPr>
            <w:r/>
            <w:r>
              <w:rPr>
                <w:rFonts w:ascii="Arial" w:hAnsi="Arial" w:cs="Arial"/>
                <w:b w:val="0"/>
                <w:sz w:val="22"/>
              </w:rPr>
              <w:t>98</w:t>
            </w:r>
          </w:p>
        </w:tc>
      </w:tr>
      <w:tr>
        <w:tc>
          <w:tcPr>
            <w:tcW w:type="dxa" w:w="2494"/>
          </w:tcPr>
          <w:p>
            <w:pPr>
              <w:spacing w:after="0"/>
            </w:pPr>
            <w:r/>
            <w:r>
              <w:rPr>
                <w:rFonts w:ascii="Arial" w:hAnsi="Arial" w:cs="Arial"/>
                <w:b w:val="0"/>
                <w:sz w:val="22"/>
              </w:rPr>
              <w:t>Vanillic acid</w:t>
            </w:r>
          </w:p>
        </w:tc>
        <w:tc>
          <w:tcPr>
            <w:tcW w:type="dxa" w:w="907"/>
          </w:tcPr>
          <w:p>
            <w:pPr>
              <w:spacing w:after="0"/>
              <w:jc w:val="center"/>
            </w:pPr>
            <w:r/>
            <w:r>
              <w:rPr>
                <w:rFonts w:ascii="Arial" w:hAnsi="Arial" w:cs="Arial"/>
                <w:b w:val="0"/>
                <w:sz w:val="22"/>
              </w:rPr>
              <w:t>168</w:t>
            </w:r>
          </w:p>
        </w:tc>
        <w:tc>
          <w:tcPr>
            <w:tcW w:type="dxa" w:w="907"/>
          </w:tcPr>
          <w:p>
            <w:pPr>
              <w:spacing w:after="0"/>
              <w:jc w:val="center"/>
            </w:pPr>
            <w:r/>
            <w:r>
              <w:rPr>
                <w:rFonts w:ascii="Arial" w:hAnsi="Arial" w:cs="Arial"/>
                <w:b w:val="0"/>
                <w:sz w:val="22"/>
              </w:rPr>
              <w:t>1.10</w:t>
            </w:r>
          </w:p>
        </w:tc>
        <w:tc>
          <w:tcPr>
            <w:tcW w:type="dxa" w:w="850"/>
          </w:tcPr>
          <w:p>
            <w:pPr>
              <w:spacing w:after="0"/>
              <w:jc w:val="center"/>
            </w:pPr>
            <w:r/>
            <w:r>
              <w:rPr>
                <w:rFonts w:ascii="Arial" w:hAnsi="Arial" w:cs="Arial"/>
                <w:b w:val="0"/>
                <w:sz w:val="22"/>
              </w:rPr>
              <w:t>12</w:t>
            </w:r>
          </w:p>
        </w:tc>
        <w:tc>
          <w:tcPr>
            <w:tcW w:type="dxa" w:w="1644"/>
          </w:tcPr>
          <w:p>
            <w:pPr>
              <w:spacing w:after="0"/>
              <w:jc w:val="center"/>
            </w:pPr>
            <w:r/>
            <w:r>
              <w:rPr>
                <w:rFonts w:ascii="Arial" w:hAnsi="Arial" w:cs="Arial"/>
                <w:b w:val="0"/>
                <w:sz w:val="22"/>
              </w:rPr>
              <w:t>−5.61 ± 0.02</w:t>
            </w:r>
          </w:p>
        </w:tc>
        <w:tc>
          <w:tcPr>
            <w:tcW w:type="dxa" w:w="794"/>
          </w:tcPr>
          <w:p>
            <w:pPr>
              <w:spacing w:after="0"/>
              <w:jc w:val="center"/>
            </w:pPr>
            <w:r/>
            <w:r>
              <w:rPr>
                <w:rFonts w:ascii="Arial" w:hAnsi="Arial" w:cs="Arial"/>
                <w:b w:val="0"/>
                <w:sz w:val="22"/>
              </w:rPr>
              <w:t>0.469</w:t>
            </w:r>
          </w:p>
        </w:tc>
        <w:tc>
          <w:tcPr>
            <w:tcW w:type="dxa" w:w="1247"/>
          </w:tcPr>
          <w:p>
            <w:pPr>
              <w:spacing w:after="0"/>
              <w:jc w:val="center"/>
            </w:pPr>
            <w:r/>
            <w:r>
              <w:rPr>
                <w:rFonts w:ascii="Arial" w:hAnsi="Arial" w:cs="Arial"/>
                <w:b w:val="0"/>
                <w:sz w:val="22"/>
              </w:rPr>
              <w:t>3 (2)</w:t>
            </w:r>
          </w:p>
        </w:tc>
        <w:tc>
          <w:tcPr>
            <w:tcW w:type="dxa" w:w="794"/>
          </w:tcPr>
          <w:p>
            <w:pPr>
              <w:spacing w:after="0"/>
              <w:jc w:val="center"/>
            </w:pPr>
            <w:r/>
            <w:r>
              <w:rPr>
                <w:rFonts w:ascii="Arial" w:hAnsi="Arial" w:cs="Arial"/>
                <w:b w:val="0"/>
                <w:sz w:val="22"/>
              </w:rPr>
              <w:t>97</w:t>
            </w:r>
          </w:p>
        </w:tc>
        <w:tc>
          <w:tcPr>
            <w:tcW w:type="dxa" w:w="1644"/>
          </w:tcPr>
          <w:p>
            <w:pPr>
              <w:spacing w:after="0"/>
              <w:jc w:val="center"/>
            </w:pPr>
            <w:r/>
            <w:r>
              <w:rPr>
                <w:rFonts w:ascii="Arial" w:hAnsi="Arial" w:cs="Arial"/>
                <w:b w:val="0"/>
                <w:sz w:val="22"/>
              </w:rPr>
              <w:t>−5.57 ± 0.03</w:t>
            </w:r>
          </w:p>
        </w:tc>
        <w:tc>
          <w:tcPr>
            <w:tcW w:type="dxa" w:w="794"/>
          </w:tcPr>
          <w:p>
            <w:pPr>
              <w:spacing w:after="0"/>
              <w:jc w:val="center"/>
            </w:pPr>
            <w:r/>
            <w:r>
              <w:rPr>
                <w:rFonts w:ascii="Arial" w:hAnsi="Arial" w:cs="Arial"/>
                <w:b w:val="0"/>
                <w:sz w:val="22"/>
              </w:rPr>
              <w:t>0.466</w:t>
            </w:r>
          </w:p>
        </w:tc>
        <w:tc>
          <w:tcPr>
            <w:tcW w:type="dxa" w:w="1247"/>
          </w:tcPr>
          <w:p>
            <w:pPr>
              <w:spacing w:after="0"/>
              <w:jc w:val="center"/>
            </w:pPr>
            <w:r/>
            <w:r>
              <w:rPr>
                <w:rFonts w:ascii="Arial" w:hAnsi="Arial" w:cs="Arial"/>
                <w:b w:val="0"/>
                <w:sz w:val="22"/>
              </w:rPr>
              <w:t>4 (2)</w:t>
            </w:r>
          </w:p>
        </w:tc>
        <w:tc>
          <w:tcPr>
            <w:tcW w:type="dxa" w:w="794"/>
          </w:tcPr>
          <w:p>
            <w:pPr>
              <w:spacing w:after="0"/>
              <w:jc w:val="center"/>
            </w:pPr>
            <w:r/>
            <w:r>
              <w:rPr>
                <w:rFonts w:ascii="Arial" w:hAnsi="Arial" w:cs="Arial"/>
                <w:b w:val="0"/>
                <w:sz w:val="22"/>
              </w:rPr>
              <w:t>99</w:t>
            </w:r>
          </w:p>
        </w:tc>
      </w:tr>
    </w:tbl>
    <w:p>
      <w:pPr>
        <w:spacing w:after="80"/>
      </w:pPr>
      <w:r>
        <w:rPr>
          <w:rFonts w:ascii="Arial" w:hAnsi="Arial" w:cs="Arial"/>
          <w:i w:val="0"/>
          <w:sz w:val="24"/>
        </w:rPr>
        <w:t>ΔG = Vina binding affinity in kcal/mol, mean ± SD of three independent seeds (11, 22, 33). LE = ligand efficiency, −ΔG divided by the number of heavy atoms. H-bonds = residues within 3.5 Å of a donor/acceptor in the best pose, with the number of catalytic residues among them in brackets (MGAM: Asp203, Asp443, Asp542; HPA: Asp197, Glu233, Asp300). Footprint % = pose atoms lying within 2 Å of an atom of the crystallographic acarbose in the same structure. logP and MW from RDKit.</w:t>
      </w:r>
    </w:p>
    <w:p>
      <w:pPr>
        <w:spacing w:before="280" w:after="80"/>
      </w:pPr>
      <w:r>
        <w:rPr>
          <w:rFonts w:ascii="Arial" w:hAnsi="Arial" w:cs="Arial"/>
          <w:b/>
          <w:sz w:val="38"/>
        </w:rPr>
        <w:t>Table S2  Protocol validation</w:t>
      </w:r>
    </w:p>
    <w:tbl>
      <w:tblPr>
        <w:tblW w:type="auto" w:w="0"/>
        <w:tblLayout w:type="fixed"/>
        <w:tblLook w:firstColumn="1" w:firstRow="1" w:lastColumn="0" w:lastRow="0" w:noHBand="0" w:noVBand="1" w:val="04A0"/>
        <w:tblBorders>
          <w:top w:val="single" w:sz="4" w:color="8A93A8"/>
          <w:left w:val="single" w:sz="4" w:color="8A93A8"/>
          <w:bottom w:val="single" w:sz="4" w:color="8A93A8"/>
          <w:right w:val="single" w:sz="4" w:color="8A93A8"/>
          <w:insideH w:val="single" w:sz="4" w:color="8A93A8"/>
          <w:insideV w:val="single" w:sz="4" w:color="8A93A8"/>
        </w:tblBorders>
        <w:tblCellMar/>
      </w:tblPr>
      <w:tblGrid>
        <w:gridCol w:w="4876"/>
        <w:gridCol w:w="3628"/>
        <w:gridCol w:w="5443"/>
      </w:tblGrid>
      <w:tr>
        <w:tc>
          <w:tcPr>
            <w:tcW w:type="dxa" w:w="4876"/>
          </w:tcPr>
          <w:p>
            <w:pPr>
              <w:spacing w:after="0"/>
            </w:pPr>
            <w:r/>
            <w:r>
              <w:rPr>
                <w:rFonts w:ascii="Arial" w:hAnsi="Arial" w:cs="Arial"/>
                <w:b/>
                <w:sz w:val="24"/>
              </w:rPr>
              <w:t>Check</w:t>
            </w:r>
          </w:p>
        </w:tc>
        <w:tc>
          <w:tcPr>
            <w:tcW w:type="dxa" w:w="3628"/>
          </w:tcPr>
          <w:p>
            <w:pPr>
              <w:spacing w:after="0"/>
              <w:jc w:val="center"/>
            </w:pPr>
            <w:r/>
            <w:r>
              <w:rPr>
                <w:rFonts w:ascii="Arial" w:hAnsi="Arial" w:cs="Arial"/>
                <w:b/>
                <w:sz w:val="24"/>
              </w:rPr>
              <w:t>Result</w:t>
            </w:r>
          </w:p>
        </w:tc>
        <w:tc>
          <w:tcPr>
            <w:tcW w:type="dxa" w:w="5443"/>
          </w:tcPr>
          <w:p>
            <w:pPr>
              <w:spacing w:after="0"/>
              <w:jc w:val="center"/>
            </w:pPr>
            <w:r/>
            <w:r>
              <w:rPr>
                <w:rFonts w:ascii="Arial" w:hAnsi="Arial" w:cs="Arial"/>
                <w:b/>
                <w:sz w:val="24"/>
              </w:rPr>
              <w:t>Interpretation</w:t>
            </w:r>
          </w:p>
        </w:tc>
      </w:tr>
      <w:tr>
        <w:tc>
          <w:tcPr>
            <w:tcW w:type="dxa" w:w="4876"/>
          </w:tcPr>
          <w:p>
            <w:pPr>
              <w:spacing w:after="0"/>
            </w:pPr>
            <w:r/>
            <w:r>
              <w:rPr>
                <w:rFonts w:ascii="Arial" w:hAnsi="Arial" w:cs="Arial"/>
                <w:b w:val="0"/>
                <w:sz w:val="24"/>
              </w:rPr>
              <w:t>Re-docking crystal acarbose into MGAM (2QMJ), 3 seeds from a randomised start</w:t>
            </w:r>
          </w:p>
        </w:tc>
        <w:tc>
          <w:tcPr>
            <w:tcW w:type="dxa" w:w="3628"/>
          </w:tcPr>
          <w:p>
            <w:pPr>
              <w:spacing w:after="0"/>
              <w:jc w:val="center"/>
            </w:pPr>
            <w:r/>
            <w:r>
              <w:rPr>
                <w:rFonts w:ascii="Arial" w:hAnsi="Arial" w:cs="Arial"/>
                <w:b w:val="0"/>
                <w:sz w:val="24"/>
              </w:rPr>
              <w:t>2.04 Å (-7.81 kcal/mol) / 2.06 Å (-7.8 kcal/mol) / 2.06 Å (-7.78 kcal/mol)</w:t>
            </w:r>
          </w:p>
        </w:tc>
        <w:tc>
          <w:tcPr>
            <w:tcW w:type="dxa" w:w="5443"/>
          </w:tcPr>
          <w:p>
            <w:pPr>
              <w:spacing w:after="0"/>
              <w:jc w:val="center"/>
            </w:pPr>
            <w:r/>
            <w:r>
              <w:rPr>
                <w:rFonts w:ascii="Arial" w:hAnsi="Arial" w:cs="Arial"/>
                <w:b w:val="0"/>
                <w:sz w:val="24"/>
              </w:rPr>
              <w:t>At the 2 Å threshold usually quoted; reported as measured, not rounded down</w:t>
            </w:r>
          </w:p>
        </w:tc>
      </w:tr>
      <w:tr>
        <w:tc>
          <w:tcPr>
            <w:tcW w:type="dxa" w:w="4876"/>
          </w:tcPr>
          <w:p>
            <w:pPr>
              <w:spacing w:after="0"/>
            </w:pPr>
            <w:r/>
            <w:r>
              <w:rPr>
                <w:rFonts w:ascii="Arial" w:hAnsi="Arial" w:cs="Arial"/>
                <w:b w:val="0"/>
                <w:sz w:val="24"/>
              </w:rPr>
              <w:t>Crystal acarbose pose atoms recovered inside the HPA site (3BAJ)</w:t>
            </w:r>
          </w:p>
        </w:tc>
        <w:tc>
          <w:tcPr>
            <w:tcW w:type="dxa" w:w="3628"/>
          </w:tcPr>
          <w:p>
            <w:pPr>
              <w:spacing w:after="0"/>
              <w:jc w:val="center"/>
            </w:pPr>
            <w:r/>
            <w:r>
              <w:rPr>
                <w:rFonts w:ascii="Arial" w:hAnsi="Arial" w:cs="Arial"/>
                <w:b w:val="0"/>
                <w:sz w:val="24"/>
              </w:rPr>
              <w:t>86%</w:t>
            </w:r>
          </w:p>
        </w:tc>
        <w:tc>
          <w:tcPr>
            <w:tcW w:type="dxa" w:w="5443"/>
          </w:tcPr>
          <w:p>
            <w:pPr>
              <w:spacing w:after="0"/>
              <w:jc w:val="center"/>
            </w:pPr>
            <w:r/>
            <w:r>
              <w:rPr>
                <w:rFonts w:ascii="Arial" w:hAnsi="Arial" w:cs="Arial"/>
                <w:b w:val="0"/>
                <w:sz w:val="24"/>
              </w:rPr>
              <w:t>The search box covers the catalytic site of the crystal complex</w:t>
            </w:r>
          </w:p>
        </w:tc>
      </w:tr>
      <w:tr>
        <w:tc>
          <w:tcPr>
            <w:tcW w:type="dxa" w:w="4876"/>
          </w:tcPr>
          <w:p>
            <w:pPr>
              <w:spacing w:after="0"/>
            </w:pPr>
            <w:r/>
            <w:r>
              <w:rPr>
                <w:rFonts w:ascii="Arial" w:hAnsi="Arial" w:cs="Arial"/>
                <w:b w:val="0"/>
                <w:sz w:val="24"/>
              </w:rPr>
              <w:t>Reproducibility across seeds, all 12 compounds</w:t>
            </w:r>
          </w:p>
        </w:tc>
        <w:tc>
          <w:tcPr>
            <w:tcW w:type="dxa" w:w="3628"/>
          </w:tcPr>
          <w:p>
            <w:pPr>
              <w:spacing w:after="0"/>
              <w:jc w:val="center"/>
            </w:pPr>
            <w:r/>
            <w:r>
              <w:rPr>
                <w:rFonts w:ascii="Arial" w:hAnsi="Arial" w:cs="Arial"/>
                <w:b w:val="0"/>
                <w:sz w:val="24"/>
              </w:rPr>
              <w:t>SD ≤ 0.49 kcal/mol</w:t>
            </w:r>
          </w:p>
        </w:tc>
        <w:tc>
          <w:tcPr>
            <w:tcW w:type="dxa" w:w="5443"/>
          </w:tcPr>
          <w:p>
            <w:pPr>
              <w:spacing w:after="0"/>
              <w:jc w:val="center"/>
            </w:pPr>
            <w:r/>
            <w:r>
              <w:rPr>
                <w:rFonts w:ascii="Arial" w:hAnsi="Arial" w:cs="Arial"/>
                <w:b w:val="0"/>
                <w:sz w:val="24"/>
              </w:rPr>
              <w:t>The engine is repeatable; this says nothing about accuracy</w:t>
            </w:r>
          </w:p>
        </w:tc>
      </w:tr>
    </w:tbl>
    <w:p>
      <w:r>
        <w:br w:type="page"/>
      </w:r>
    </w:p>
    <w:p>
      <w:pPr>
        <w:spacing w:before="0" w:after="80"/>
      </w:pPr>
      <w:r>
        <w:rPr>
          <w:rFonts w:ascii="Arial" w:hAnsi="Arial" w:cs="Arial"/>
          <w:b/>
          <w:sz w:val="38"/>
        </w:rPr>
        <w:t>Figure S1  Predicted binding affinity of all twelve compounds on both enzymes</w:t>
      </w:r>
    </w:p>
    <w:p>
      <w:pPr>
        <w:spacing w:after="60"/>
        <w:jc w:val="center"/>
      </w:pPr>
      <w:r>
        <w:drawing>
          <wp:inline xmlns:a="http://schemas.openxmlformats.org/drawingml/2006/main" xmlns:pic="http://schemas.openxmlformats.org/drawingml/2006/picture">
            <wp:extent cx="6120000" cy="4562181"/>
            <wp:docPr id="1" name="Picture 1"/>
            <wp:cNvGraphicFramePr>
              <a:graphicFrameLocks noChangeAspect="1"/>
            </wp:cNvGraphicFramePr>
            <a:graphic>
              <a:graphicData uri="http://schemas.openxmlformats.org/drawingml/2006/picture">
                <pic:pic>
                  <pic:nvPicPr>
                    <pic:cNvPr id="0" name="affinity.png"/>
                    <pic:cNvPicPr/>
                  </pic:nvPicPr>
                  <pic:blipFill>
                    <a:blip r:embed="rId9"/>
                    <a:stretch>
                      <a:fillRect/>
                    </a:stretch>
                  </pic:blipFill>
                  <pic:spPr>
                    <a:xfrm>
                      <a:off x="0" y="0"/>
                      <a:ext cx="6120000" cy="4562181"/>
                    </a:xfrm>
                    <a:prstGeom prst="rect"/>
                  </pic:spPr>
                </pic:pic>
              </a:graphicData>
            </a:graphic>
          </wp:inline>
        </w:drawing>
      </w:r>
    </w:p>
    <w:p>
      <w:pPr>
        <w:spacing w:after="80"/>
        <w:jc w:val="left"/>
      </w:pPr>
      <w:r>
        <w:rPr>
          <w:rFonts w:ascii="Arial" w:hAnsi="Arial" w:cs="Arial"/>
          <w:i w:val="0"/>
          <w:sz w:val="26"/>
        </w:rPr>
        <w:t>Mean ± SD of three seeds. Solid bars α-glucosidase (MGAM), hatched bars α-amylase (HPA). Dashed and dotted lines mark acarbose on each enzyme. Colours group the compounds: purple = anthocyanins, gold = γ-oryzanol esters, green = vitamin E forms, orange = quercetin, pink = acarbose.</w:t>
      </w:r>
    </w:p>
    <w:p>
      <w:r>
        <w:br w:type="page"/>
      </w:r>
    </w:p>
    <w:p>
      <w:pPr>
        <w:spacing w:before="0" w:after="80"/>
      </w:pPr>
      <w:r>
        <w:rPr>
          <w:rFonts w:ascii="Arial" w:hAnsi="Arial" w:cs="Arial"/>
          <w:b/>
          <w:sz w:val="38"/>
        </w:rPr>
        <w:t>Figure S2  Binding per atom, and the size bias in the scores</w:t>
      </w:r>
    </w:p>
    <w:p>
      <w:pPr>
        <w:spacing w:after="60"/>
        <w:jc w:val="center"/>
      </w:pPr>
      <w:r>
        <w:drawing>
          <wp:inline xmlns:a="http://schemas.openxmlformats.org/drawingml/2006/main" xmlns:pic="http://schemas.openxmlformats.org/drawingml/2006/picture">
            <wp:extent cx="9360000" cy="3833143"/>
            <wp:docPr id="2" name="Picture 2"/>
            <wp:cNvGraphicFramePr>
              <a:graphicFrameLocks noChangeAspect="1"/>
            </wp:cNvGraphicFramePr>
            <a:graphic>
              <a:graphicData uri="http://schemas.openxmlformats.org/drawingml/2006/picture">
                <pic:pic>
                  <pic:nvPicPr>
                    <pic:cNvPr id="0" name="efficiency_size.png"/>
                    <pic:cNvPicPr/>
                  </pic:nvPicPr>
                  <pic:blipFill>
                    <a:blip r:embed="rId10"/>
                    <a:stretch>
                      <a:fillRect/>
                    </a:stretch>
                  </pic:blipFill>
                  <pic:spPr>
                    <a:xfrm>
                      <a:off x="0" y="0"/>
                      <a:ext cx="9360000" cy="3833143"/>
                    </a:xfrm>
                    <a:prstGeom prst="rect"/>
                  </pic:spPr>
                </pic:pic>
              </a:graphicData>
            </a:graphic>
          </wp:inline>
        </w:drawing>
      </w:r>
    </w:p>
    <w:p>
      <w:pPr>
        <w:spacing w:after="80"/>
        <w:jc w:val="left"/>
      </w:pPr>
      <w:r>
        <w:rPr>
          <w:rFonts w:ascii="Arial" w:hAnsi="Arial" w:cs="Arial"/>
          <w:i w:val="0"/>
          <w:sz w:val="26"/>
        </w:rPr>
        <w:t>(A) Ligand efficiency. The small phenolic acids bind far more efficiently per atom than any of the large molecules, and both anthocyanins beat acarbose (dotted line). (B) Predicted affinity against molecular size, with the least-squares fit for each enzyme. Empirical scoring functions reward added atoms, so a raw ranking favours the largest molecules; this is why solubility and efficiency were scored alongside the raw ΔG.</w:t>
      </w:r>
    </w:p>
    <w:tbl>
      <w:tblPr>
        <w:tblW w:type="auto" w:w="0"/>
        <w:tblLayout w:type="fixed"/>
        <w:tblLook w:firstColumn="1" w:firstRow="1" w:lastColumn="0" w:lastRow="0" w:noHBand="0" w:noVBand="1" w:val="04A0"/>
        <w:tblBorders>
          <w:top w:val="single" w:sz="4" w:color="8A93A8"/>
          <w:left w:val="single" w:sz="4" w:color="8A93A8"/>
          <w:bottom w:val="single" w:sz="4" w:color="8A93A8"/>
          <w:right w:val="single" w:sz="4" w:color="8A93A8"/>
          <w:insideH w:val="single" w:sz="4" w:color="8A93A8"/>
          <w:insideV w:val="single" w:sz="4" w:color="8A93A8"/>
        </w:tblBorders>
        <w:tblCellMar/>
      </w:tblPr>
      <w:tblGrid>
        <w:gridCol w:w="2608"/>
        <w:gridCol w:w="4195"/>
        <w:gridCol w:w="2041"/>
        <w:gridCol w:w="2041"/>
        <w:gridCol w:w="2041"/>
      </w:tblGrid>
      <w:tr>
        <w:tc>
          <w:tcPr>
            <w:tcW w:type="dxa" w:w="2608"/>
          </w:tcPr>
          <w:p>
            <w:pPr>
              <w:spacing w:after="0"/>
            </w:pPr>
            <w:r/>
            <w:r>
              <w:rPr>
                <w:rFonts w:ascii="Arial" w:hAnsi="Arial" w:cs="Arial"/>
                <w:b/>
                <w:sz w:val="24"/>
              </w:rPr>
              <w:t>Enzyme</w:t>
            </w:r>
          </w:p>
        </w:tc>
        <w:tc>
          <w:tcPr>
            <w:tcW w:type="dxa" w:w="4195"/>
          </w:tcPr>
          <w:p>
            <w:pPr>
              <w:spacing w:after="0"/>
              <w:jc w:val="center"/>
            </w:pPr>
            <w:r/>
            <w:r>
              <w:rPr>
                <w:rFonts w:ascii="Arial" w:hAnsi="Arial" w:cs="Arial"/>
                <w:b/>
                <w:sz w:val="24"/>
              </w:rPr>
              <w:t>Slope (kcal/mol per heavy atom)</w:t>
            </w:r>
          </w:p>
        </w:tc>
        <w:tc>
          <w:tcPr>
            <w:tcW w:type="dxa" w:w="2041"/>
          </w:tcPr>
          <w:p>
            <w:pPr>
              <w:spacing w:after="0"/>
              <w:jc w:val="center"/>
            </w:pPr>
            <w:r/>
            <w:r>
              <w:rPr>
                <w:rFonts w:ascii="Arial" w:hAnsi="Arial" w:cs="Arial"/>
                <w:b/>
                <w:sz w:val="24"/>
              </w:rPr>
              <w:t>Pearson r</w:t>
            </w:r>
          </w:p>
        </w:tc>
        <w:tc>
          <w:tcPr>
            <w:tcW w:type="dxa" w:w="2041"/>
          </w:tcPr>
          <w:p>
            <w:pPr>
              <w:spacing w:after="0"/>
              <w:jc w:val="center"/>
            </w:pPr>
            <w:r/>
            <w:r>
              <w:rPr>
                <w:rFonts w:ascii="Arial" w:hAnsi="Arial" w:cs="Arial"/>
                <w:b/>
                <w:sz w:val="24"/>
              </w:rPr>
              <w:t>r²</w:t>
            </w:r>
          </w:p>
        </w:tc>
        <w:tc>
          <w:tcPr>
            <w:tcW w:type="dxa" w:w="2041"/>
          </w:tcPr>
          <w:p>
            <w:pPr>
              <w:spacing w:after="0"/>
              <w:jc w:val="center"/>
            </w:pPr>
            <w:r/>
            <w:r>
              <w:rPr>
                <w:rFonts w:ascii="Arial" w:hAnsi="Arial" w:cs="Arial"/>
                <w:b/>
                <w:sz w:val="24"/>
              </w:rPr>
              <w:t>p</w:t>
            </w:r>
          </w:p>
        </w:tc>
      </w:tr>
      <w:tr>
        <w:tc>
          <w:tcPr>
            <w:tcW w:type="dxa" w:w="2608"/>
          </w:tcPr>
          <w:p>
            <w:pPr>
              <w:spacing w:after="0"/>
            </w:pPr>
            <w:r/>
            <w:r>
              <w:rPr>
                <w:rFonts w:ascii="Arial" w:hAnsi="Arial" w:cs="Arial"/>
                <w:b w:val="0"/>
                <w:sz w:val="24"/>
              </w:rPr>
              <w:t>MGAM</w:t>
            </w:r>
          </w:p>
        </w:tc>
        <w:tc>
          <w:tcPr>
            <w:tcW w:type="dxa" w:w="4195"/>
          </w:tcPr>
          <w:p>
            <w:pPr>
              <w:spacing w:after="0"/>
              <w:jc w:val="center"/>
            </w:pPr>
            <w:r/>
            <w:r>
              <w:rPr>
                <w:rFonts w:ascii="Arial" w:hAnsi="Arial" w:cs="Arial"/>
                <w:b w:val="0"/>
                <w:sz w:val="24"/>
              </w:rPr>
              <w:t>0.062</w:t>
            </w:r>
          </w:p>
        </w:tc>
        <w:tc>
          <w:tcPr>
            <w:tcW w:type="dxa" w:w="2041"/>
          </w:tcPr>
          <w:p>
            <w:pPr>
              <w:spacing w:after="0"/>
              <w:jc w:val="center"/>
            </w:pPr>
            <w:r/>
            <w:r>
              <w:rPr>
                <w:rFonts w:ascii="Arial" w:hAnsi="Arial" w:cs="Arial"/>
                <w:b w:val="0"/>
                <w:sz w:val="24"/>
              </w:rPr>
              <w:t>0.728</w:t>
            </w:r>
          </w:p>
        </w:tc>
        <w:tc>
          <w:tcPr>
            <w:tcW w:type="dxa" w:w="2041"/>
          </w:tcPr>
          <w:p>
            <w:pPr>
              <w:spacing w:after="0"/>
              <w:jc w:val="center"/>
            </w:pPr>
            <w:r/>
            <w:r>
              <w:rPr>
                <w:rFonts w:ascii="Arial" w:hAnsi="Arial" w:cs="Arial"/>
                <w:b w:val="0"/>
                <w:sz w:val="24"/>
              </w:rPr>
              <w:t>0.530</w:t>
            </w:r>
          </w:p>
        </w:tc>
        <w:tc>
          <w:tcPr>
            <w:tcW w:type="dxa" w:w="2041"/>
          </w:tcPr>
          <w:p>
            <w:pPr>
              <w:spacing w:after="0"/>
              <w:jc w:val="center"/>
            </w:pPr>
            <w:r/>
            <w:r>
              <w:rPr>
                <w:rFonts w:ascii="Arial" w:hAnsi="Arial" w:cs="Arial"/>
                <w:b w:val="0"/>
                <w:sz w:val="24"/>
              </w:rPr>
              <w:t>0.0072</w:t>
            </w:r>
          </w:p>
        </w:tc>
      </w:tr>
      <w:tr>
        <w:tc>
          <w:tcPr>
            <w:tcW w:type="dxa" w:w="2608"/>
          </w:tcPr>
          <w:p>
            <w:pPr>
              <w:spacing w:after="0"/>
            </w:pPr>
            <w:r/>
            <w:r>
              <w:rPr>
                <w:rFonts w:ascii="Arial" w:hAnsi="Arial" w:cs="Arial"/>
                <w:b w:val="0"/>
                <w:sz w:val="24"/>
              </w:rPr>
              <w:t>HPA</w:t>
            </w:r>
          </w:p>
        </w:tc>
        <w:tc>
          <w:tcPr>
            <w:tcW w:type="dxa" w:w="4195"/>
          </w:tcPr>
          <w:p>
            <w:pPr>
              <w:spacing w:after="0"/>
              <w:jc w:val="center"/>
            </w:pPr>
            <w:r/>
            <w:r>
              <w:rPr>
                <w:rFonts w:ascii="Arial" w:hAnsi="Arial" w:cs="Arial"/>
                <w:b w:val="0"/>
                <w:sz w:val="24"/>
              </w:rPr>
              <w:t>0.107</w:t>
            </w:r>
          </w:p>
        </w:tc>
        <w:tc>
          <w:tcPr>
            <w:tcW w:type="dxa" w:w="2041"/>
          </w:tcPr>
          <w:p>
            <w:pPr>
              <w:spacing w:after="0"/>
              <w:jc w:val="center"/>
            </w:pPr>
            <w:r/>
            <w:r>
              <w:rPr>
                <w:rFonts w:ascii="Arial" w:hAnsi="Arial" w:cs="Arial"/>
                <w:b w:val="0"/>
                <w:sz w:val="24"/>
              </w:rPr>
              <w:t>0.880</w:t>
            </w:r>
          </w:p>
        </w:tc>
        <w:tc>
          <w:tcPr>
            <w:tcW w:type="dxa" w:w="2041"/>
          </w:tcPr>
          <w:p>
            <w:pPr>
              <w:spacing w:after="0"/>
              <w:jc w:val="center"/>
            </w:pPr>
            <w:r/>
            <w:r>
              <w:rPr>
                <w:rFonts w:ascii="Arial" w:hAnsi="Arial" w:cs="Arial"/>
                <w:b w:val="0"/>
                <w:sz w:val="24"/>
              </w:rPr>
              <w:t>0.774</w:t>
            </w:r>
          </w:p>
        </w:tc>
        <w:tc>
          <w:tcPr>
            <w:tcW w:type="dxa" w:w="2041"/>
          </w:tcPr>
          <w:p>
            <w:pPr>
              <w:spacing w:after="0"/>
              <w:jc w:val="center"/>
            </w:pPr>
            <w:r/>
            <w:r>
              <w:rPr>
                <w:rFonts w:ascii="Arial" w:hAnsi="Arial" w:cs="Arial"/>
                <w:b w:val="0"/>
                <w:sz w:val="24"/>
              </w:rPr>
              <w:t>0.00016</w:t>
            </w:r>
          </w:p>
        </w:tc>
      </w:tr>
    </w:tbl>
    <w:p>
      <w:r>
        <w:br w:type="page"/>
      </w:r>
    </w:p>
    <w:p>
      <w:pPr>
        <w:spacing w:before="0" w:after="80"/>
      </w:pPr>
      <w:r>
        <w:rPr>
          <w:rFonts w:ascii="Arial" w:hAnsi="Arial" w:cs="Arial"/>
          <w:b/>
          <w:sz w:val="38"/>
        </w:rPr>
        <w:t>Figure S3  Which active-site residues each compound touches</w:t>
      </w:r>
    </w:p>
    <w:p>
      <w:pPr>
        <w:spacing w:after="60"/>
        <w:jc w:val="center"/>
      </w:pPr>
      <w:r>
        <w:drawing>
          <wp:inline xmlns:a="http://schemas.openxmlformats.org/drawingml/2006/main" xmlns:pic="http://schemas.openxmlformats.org/drawingml/2006/picture">
            <wp:extent cx="9360000" cy="3999273"/>
            <wp:docPr id="3" name="Picture 3"/>
            <wp:cNvGraphicFramePr>
              <a:graphicFrameLocks noChangeAspect="1"/>
            </wp:cNvGraphicFramePr>
            <a:graphic>
              <a:graphicData uri="http://schemas.openxmlformats.org/drawingml/2006/picture">
                <pic:pic>
                  <pic:nvPicPr>
                    <pic:cNvPr id="0" name="fingerprint.png"/>
                    <pic:cNvPicPr/>
                  </pic:nvPicPr>
                  <pic:blipFill>
                    <a:blip r:embed="rId11"/>
                    <a:stretch>
                      <a:fillRect/>
                    </a:stretch>
                  </pic:blipFill>
                  <pic:spPr>
                    <a:xfrm>
                      <a:off x="0" y="0"/>
                      <a:ext cx="9360000" cy="3999273"/>
                    </a:xfrm>
                    <a:prstGeom prst="rect"/>
                  </pic:spPr>
                </pic:pic>
              </a:graphicData>
            </a:graphic>
          </wp:inline>
        </w:drawing>
      </w:r>
    </w:p>
    <w:p>
      <w:pPr>
        <w:spacing w:after="80"/>
        <w:jc w:val="left"/>
      </w:pPr>
      <w:r>
        <w:rPr>
          <w:rFonts w:ascii="Arial" w:hAnsi="Arial" w:cs="Arial"/>
          <w:i w:val="0"/>
          <w:sz w:val="26"/>
        </w:rPr>
        <w:t>Contacts ≤ 4 Å in pale blue, hydrogen bonds ≤ 3.5 Å in dark blue, catalytic residues labelled in pink. Compounds are ordered by predicted affinity. Both anthocyanins hydrogen-bond the catalytic acids of both enzymes (Asp443 and Asp542 on MGAM; Asp197, Glu233 and Asp300 on HPA), the same residues acarbose engages, whereas the γ-oryzanol esters and the vitamin E forms make mostly hydrophobic contacts around them.</w:t>
      </w:r>
    </w:p>
    <w:p>
      <w:r>
        <w:br w:type="page"/>
      </w:r>
    </w:p>
    <w:p>
      <w:pPr>
        <w:spacing w:before="0" w:after="80"/>
      </w:pPr>
      <w:r>
        <w:rPr>
          <w:rFonts w:ascii="Arial" w:hAnsi="Arial" w:cs="Arial"/>
          <w:b/>
          <w:sz w:val="38"/>
        </w:rPr>
        <w:t>Figure S4  All candidates occupy the acarbose site</w:t>
      </w:r>
    </w:p>
    <w:p>
      <w:pPr>
        <w:spacing w:after="60"/>
        <w:jc w:val="center"/>
      </w:pPr>
      <w:r>
        <w:drawing>
          <wp:inline xmlns:a="http://schemas.openxmlformats.org/drawingml/2006/main" xmlns:pic="http://schemas.openxmlformats.org/drawingml/2006/picture">
            <wp:extent cx="5760000" cy="4189091"/>
            <wp:docPr id="4" name="Picture 4"/>
            <wp:cNvGraphicFramePr>
              <a:graphicFrameLocks noChangeAspect="1"/>
            </wp:cNvGraphicFramePr>
            <a:graphic>
              <a:graphicData uri="http://schemas.openxmlformats.org/drawingml/2006/picture">
                <pic:pic>
                  <pic:nvPicPr>
                    <pic:cNvPr id="0" name="occupancy.png"/>
                    <pic:cNvPicPr/>
                  </pic:nvPicPr>
                  <pic:blipFill>
                    <a:blip r:embed="rId12"/>
                    <a:stretch>
                      <a:fillRect/>
                    </a:stretch>
                  </pic:blipFill>
                  <pic:spPr>
                    <a:xfrm>
                      <a:off x="0" y="0"/>
                      <a:ext cx="5760000" cy="4189091"/>
                    </a:xfrm>
                    <a:prstGeom prst="rect"/>
                  </pic:spPr>
                </pic:pic>
              </a:graphicData>
            </a:graphic>
          </wp:inline>
        </w:drawing>
      </w:r>
    </w:p>
    <w:p>
      <w:pPr>
        <w:spacing w:after="80"/>
        <w:jc w:val="left"/>
      </w:pPr>
      <w:r>
        <w:rPr>
          <w:rFonts w:ascii="Arial" w:hAnsi="Arial" w:cs="Arial"/>
          <w:i w:val="0"/>
          <w:sz w:val="26"/>
        </w:rPr>
        <w:t>Percentage of each pose's heavy atoms lying within 2 Å of the crystallographic acarbose. Every compound sits inside that footprint, so the poses are competitive-site binders rather than surface artefacts. Small molecules reach 100% simply because they fit entirely inside the larger drug's envelope.</w:t>
      </w:r>
    </w:p>
    <w:p>
      <w:r>
        <w:br w:type="page"/>
      </w:r>
    </w:p>
    <w:p>
      <w:pPr>
        <w:spacing w:before="0" w:after="80"/>
      </w:pPr>
      <w:r>
        <w:rPr>
          <w:rFonts w:ascii="Arial" w:hAnsi="Arial" w:cs="Arial"/>
          <w:b/>
          <w:sz w:val="38"/>
        </w:rPr>
        <w:t>Supplementary methods</w:t>
      </w:r>
    </w:p>
    <w:p>
      <w:pPr>
        <w:spacing w:after="80"/>
      </w:pPr>
      <w:r>
        <w:rPr>
          <w:rFonts w:ascii="Arial" w:hAnsi="Arial" w:cs="Arial"/>
          <w:i w:val="0"/>
          <w:sz w:val="28"/>
        </w:rPr>
        <w:t>•  Ligand efficiency. LE = −ΔG ÷ number of heavy atoms, using the mean ΔG of three seeds. It removes the part of the score that comes only from molecular size.</w:t>
      </w:r>
    </w:p>
    <w:p>
      <w:pPr>
        <w:spacing w:after="80"/>
      </w:pPr>
      <w:r>
        <w:rPr>
          <w:rFonts w:ascii="Arial" w:hAnsi="Arial" w:cs="Arial"/>
          <w:i w:val="0"/>
          <w:sz w:val="28"/>
        </w:rPr>
        <w:t>•  Score–size regression. Ordinary least squares of −ΔG on heavy-atom count across all twelve compounds, run separately for each enzyme (scipy.stats.linregress). Reported as slope, Pearson r, r² and p.</w:t>
      </w:r>
    </w:p>
    <w:p>
      <w:pPr>
        <w:spacing w:after="80"/>
      </w:pPr>
      <w:r>
        <w:rPr>
          <w:rFonts w:ascii="Arial" w:hAnsi="Arial" w:cs="Arial"/>
          <w:i w:val="0"/>
          <w:sz w:val="28"/>
        </w:rPr>
        <w:t>•  Footprint occupancy. The crystallographic acarbose was taken from the same PDB entry used as the receptor (residues AC1 + GLC in 2QMJ, ARE in 3BAJ). For each docked pose, the fraction of heavy atoms within 2 Å of any crystal acarbose heavy atom was counted. Centroid shift (in site_occupancy.json) is the distance between the pose centroid and the crystal ligand centroid.</w:t>
      </w:r>
    </w:p>
    <w:p>
      <w:pPr>
        <w:spacing w:after="80"/>
      </w:pPr>
      <w:r>
        <w:rPr>
          <w:rFonts w:ascii="Arial" w:hAnsi="Arial" w:cs="Arial"/>
          <w:i w:val="0"/>
          <w:sz w:val="28"/>
        </w:rPr>
        <w:t>•  Contacts and hydrogen bonds. A residue counts as a contact if any heavy atom lies within 4 Å of the ligand, and as a hydrogen bond if a donor/acceptor pair lies within 3.5 Å, measured on the best-scoring pose.</w:t>
      </w:r>
    </w:p>
    <w:p>
      <w:pPr>
        <w:spacing w:after="80"/>
      </w:pPr>
      <w:r>
        <w:rPr>
          <w:rFonts w:ascii="Arial" w:hAnsi="Arial" w:cs="Arial"/>
          <w:i w:val="0"/>
          <w:sz w:val="28"/>
        </w:rPr>
        <w:t>•  Everything in this document is produced by scripts/analyze.py, scripts/extra_analysis.py and scripts/fig_extra.py from the raw docking output in dock_results.json and poses/. No value was transcribed by hand.</w:t>
      </w:r>
    </w:p>
    <w:p>
      <w:pPr>
        <w:spacing w:before="280" w:after="80"/>
      </w:pPr>
      <w:r>
        <w:rPr>
          <w:rFonts w:ascii="Arial" w:hAnsi="Arial" w:cs="Arial"/>
          <w:b/>
          <w:sz w:val="38"/>
        </w:rPr>
        <w:t>What these numbers cannot show</w:t>
      </w:r>
    </w:p>
    <w:p>
      <w:pPr>
        <w:spacing w:after="80"/>
      </w:pPr>
      <w:r>
        <w:rPr>
          <w:rFonts w:ascii="Arial" w:hAnsi="Arial" w:cs="Arial"/>
          <w:i w:val="0"/>
          <w:sz w:val="28"/>
        </w:rPr>
        <w:t>•  Docking ranks predicted binding, not inhibitory potency (IC₅₀) or selectivity between the two enzymes.</w:t>
      </w:r>
    </w:p>
    <w:p>
      <w:pPr>
        <w:spacing w:after="80"/>
      </w:pPr>
      <w:r>
        <w:rPr>
          <w:rFonts w:ascii="Arial" w:hAnsi="Arial" w:cs="Arial"/>
          <w:i w:val="0"/>
          <w:sz w:val="28"/>
        </w:rPr>
        <w:t>•  Differences smaller than about 1 kcal/mol lie inside the scoring error of the function.</w:t>
      </w:r>
    </w:p>
    <w:p>
      <w:pPr>
        <w:spacing w:after="80"/>
      </w:pPr>
      <w:r>
        <w:rPr>
          <w:rFonts w:ascii="Arial" w:hAnsi="Arial" w:cs="Arial"/>
          <w:i w:val="0"/>
          <w:sz w:val="28"/>
        </w:rPr>
        <w:t>•  A low SD shows the search is repeatable, not that the score is correct.</w:t>
      </w:r>
    </w:p>
    <w:p>
      <w:pPr>
        <w:spacing w:after="80"/>
      </w:pPr>
      <w:r>
        <w:rPr>
          <w:rFonts w:ascii="Arial" w:hAnsi="Arial" w:cs="Arial"/>
          <w:i w:val="0"/>
          <w:sz w:val="28"/>
        </w:rPr>
        <w:t>•  No in vitro assay was run in this work, and no health claim is made.</w:t>
      </w:r>
    </w:p>
    <w:sectPr w:rsidR="00FC693F" w:rsidRPr="0006063C" w:rsidSect="00034616">
      <w:pgSz w:w="16838" w:h="11906" w:orient="landscape"/>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