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7659" w14:textId="6A79AE25" w:rsidR="002829D1" w:rsidRPr="00936630" w:rsidRDefault="00000000">
      <w:pPr>
        <w:spacing w:before="560" w:after="240"/>
        <w:jc w:val="center"/>
        <w:rPr>
          <w:color w:val="000000" w:themeColor="text1"/>
        </w:rPr>
      </w:pPr>
      <w:r w:rsidRPr="00936630">
        <w:rPr>
          <w:b/>
          <w:color w:val="000000" w:themeColor="text1"/>
          <w:sz w:val="36"/>
        </w:rPr>
        <w:t>Hydrothermal Conversion of Phosphogypsum into Hydroxyapatite and Its Functional Validation for CO</w:t>
      </w:r>
      <w:r w:rsidR="00936630" w:rsidRPr="00936630">
        <w:rPr>
          <w:rFonts w:eastAsia="宋体" w:hint="eastAsia"/>
          <w:b/>
          <w:color w:val="000000" w:themeColor="text1"/>
          <w:sz w:val="36"/>
          <w:vertAlign w:val="subscript"/>
          <w:lang w:eastAsia="zh-CN"/>
        </w:rPr>
        <w:t>2</w:t>
      </w:r>
      <w:r w:rsidRPr="00936630">
        <w:rPr>
          <w:b/>
          <w:color w:val="000000" w:themeColor="text1"/>
          <w:sz w:val="36"/>
        </w:rPr>
        <w:t>/SO</w:t>
      </w:r>
      <w:r w:rsidR="00936630" w:rsidRPr="00936630">
        <w:rPr>
          <w:rFonts w:eastAsia="宋体" w:hint="eastAsia"/>
          <w:b/>
          <w:color w:val="000000" w:themeColor="text1"/>
          <w:sz w:val="36"/>
          <w:vertAlign w:val="subscript"/>
          <w:lang w:eastAsia="zh-CN"/>
        </w:rPr>
        <w:t>2</w:t>
      </w:r>
      <w:r w:rsidRPr="00936630">
        <w:rPr>
          <w:b/>
          <w:color w:val="000000" w:themeColor="text1"/>
          <w:sz w:val="36"/>
        </w:rPr>
        <w:t xml:space="preserve"> Removal from Simulated Flue Gas</w:t>
      </w:r>
    </w:p>
    <w:p w14:paraId="5F316E1F" w14:textId="77777777" w:rsidR="002829D1" w:rsidRPr="008B32C2" w:rsidRDefault="00000000">
      <w:pPr>
        <w:pStyle w:val="1"/>
        <w:rPr>
          <w:rFonts w:ascii="Times New Roman" w:hAnsi="Times New Roman" w:cs="Times New Roman"/>
          <w:color w:val="000000" w:themeColor="text1"/>
        </w:rPr>
      </w:pPr>
      <w:r w:rsidRPr="008B32C2">
        <w:rPr>
          <w:rFonts w:ascii="Times New Roman" w:hAnsi="Times New Roman" w:cs="Times New Roman"/>
          <w:color w:val="000000" w:themeColor="text1"/>
        </w:rPr>
        <w:t>Abstract</w:t>
      </w:r>
    </w:p>
    <w:p w14:paraId="065A958C" w14:textId="0365B214" w:rsidR="002829D1" w:rsidRPr="000B44FE" w:rsidRDefault="00000000" w:rsidP="000B44FE">
      <w:pPr>
        <w:ind w:firstLine="420"/>
        <w:jc w:val="both"/>
        <w:rPr>
          <w:rFonts w:eastAsia="宋体" w:hint="eastAsia"/>
          <w:color w:val="000000"/>
          <w:lang w:eastAsia="zh-CN"/>
        </w:rPr>
      </w:pPr>
      <w:r>
        <w:rPr>
          <w:color w:val="000000"/>
        </w:rPr>
        <w:t>Phosphogypsum (PG), a calcium-rich by-product of wet-process phosphoric acid production, requires high-value utilization routes that can reduce long-term stockpiling while recovering its mineral resources. In this study, PG was used as the calcium precursor for the hydrothermal preparation of hydroxyapatite (HAP). The effects of phosphate/alkali source, initial pH, hydrothermal temperature, and reaction time on PG conversion, HAP phase formation, and crystal morphology were investigated using X-ray diffraction (XRD), scanning electron microscopy (SEM), Fourier-transform infrared spectroscopy (FTIR), Raman spectroscopy, energy-dispersive X-ray spectroscopy (EDS), and elemental mapping. The (NH</w:t>
      </w:r>
      <w:r w:rsidR="00936630" w:rsidRPr="00936630">
        <w:rPr>
          <w:rFonts w:eastAsia="宋体" w:hint="eastAsia"/>
          <w:color w:val="000000"/>
          <w:vertAlign w:val="subscript"/>
          <w:lang w:eastAsia="zh-CN"/>
        </w:rPr>
        <w:t>4</w:t>
      </w:r>
      <w:r>
        <w:rPr>
          <w:color w:val="000000"/>
        </w:rPr>
        <w:t>)</w:t>
      </w:r>
      <w:r w:rsidR="00936630" w:rsidRPr="00936630">
        <w:rPr>
          <w:rFonts w:eastAsia="宋体" w:hint="eastAsia"/>
          <w:color w:val="000000"/>
          <w:vertAlign w:val="subscript"/>
          <w:lang w:eastAsia="zh-CN"/>
        </w:rPr>
        <w:t>2</w:t>
      </w:r>
      <w:r>
        <w:rPr>
          <w:color w:val="000000"/>
        </w:rPr>
        <w:t>HPO</w:t>
      </w:r>
      <w:r w:rsidR="00936630" w:rsidRPr="00936630">
        <w:rPr>
          <w:rFonts w:eastAsia="宋体" w:hint="eastAsia"/>
          <w:color w:val="000000"/>
          <w:vertAlign w:val="subscript"/>
          <w:lang w:eastAsia="zh-CN"/>
        </w:rPr>
        <w:t>4</w:t>
      </w:r>
      <w:r>
        <w:rPr>
          <w:color w:val="000000"/>
        </w:rPr>
        <w:t>/NH</w:t>
      </w:r>
      <w:r w:rsidR="00936630" w:rsidRPr="00936630">
        <w:rPr>
          <w:rFonts w:eastAsia="宋体" w:hint="eastAsia"/>
          <w:color w:val="000000"/>
          <w:vertAlign w:val="subscript"/>
          <w:lang w:eastAsia="zh-CN"/>
        </w:rPr>
        <w:t>3</w:t>
      </w:r>
      <w:r w:rsidR="00936630">
        <w:rPr>
          <w:color w:val="000000"/>
        </w:rPr>
        <w:sym w:font="Wingdings" w:char="F09E"/>
      </w:r>
      <w:r>
        <w:rPr>
          <w:color w:val="000000"/>
        </w:rPr>
        <w:t>H</w:t>
      </w:r>
      <w:r w:rsidR="00936630" w:rsidRPr="00936630">
        <w:rPr>
          <w:rFonts w:eastAsia="宋体" w:hint="eastAsia"/>
          <w:color w:val="000000"/>
          <w:vertAlign w:val="subscript"/>
          <w:lang w:eastAsia="zh-CN"/>
        </w:rPr>
        <w:t>2</w:t>
      </w:r>
      <w:r>
        <w:rPr>
          <w:color w:val="000000"/>
        </w:rPr>
        <w:t>O system promoted more complete PG-to-HAP conversion than the corresponding sodium</w:t>
      </w:r>
      <w:r w:rsidR="00936630">
        <w:rPr>
          <w:color w:val="000000"/>
        </w:rPr>
        <w:t>-based</w:t>
      </w:r>
      <w:r w:rsidR="00936630">
        <w:rPr>
          <w:rFonts w:eastAsia="宋体" w:hint="eastAsia"/>
          <w:color w:val="000000"/>
          <w:lang w:eastAsia="zh-CN"/>
        </w:rPr>
        <w:t xml:space="preserve"> </w:t>
      </w:r>
      <w:r>
        <w:rPr>
          <w:color w:val="000000"/>
        </w:rPr>
        <w:t>and potassium-based systems. Increasing the pH to 11 favored HAP formation and reduced sulfate-related residues, while hydrothermal temperature and time regulated crystal growth and structural ordering. Considering conversion quality, morphology, and process severity, pH 11, 160 °C, and 36 h were identified as a practical synthesis condition. The resulting PG</w:t>
      </w:r>
      <w:r w:rsidR="00936630">
        <w:rPr>
          <w:rFonts w:eastAsia="宋体" w:hint="eastAsia"/>
          <w:color w:val="000000"/>
          <w:lang w:eastAsia="zh-CN"/>
        </w:rPr>
        <w:t>-</w:t>
      </w:r>
      <w:r>
        <w:rPr>
          <w:color w:val="000000"/>
        </w:rPr>
        <w:t>derived HAP was subsequently evaluated by dynamic fixed-bed adsorption in simulated flue gas. N-HAP exhibited breakthrough capacities of 0.112 mmol g</w:t>
      </w:r>
      <w:r w:rsidR="00936630" w:rsidRPr="00936630">
        <w:rPr>
          <w:rFonts w:eastAsia="宋体" w:hint="eastAsia"/>
          <w:color w:val="000000"/>
          <w:vertAlign w:val="superscript"/>
          <w:lang w:eastAsia="zh-CN"/>
        </w:rPr>
        <w:t>-1</w:t>
      </w:r>
      <w:r>
        <w:rPr>
          <w:color w:val="000000"/>
        </w:rPr>
        <w:t xml:space="preserve"> for CO</w:t>
      </w:r>
      <w:r w:rsidR="00936630" w:rsidRPr="00936630">
        <w:rPr>
          <w:rFonts w:eastAsia="宋体" w:hint="eastAsia"/>
          <w:color w:val="000000"/>
          <w:vertAlign w:val="subscript"/>
          <w:lang w:eastAsia="zh-CN"/>
        </w:rPr>
        <w:t>2</w:t>
      </w:r>
      <w:r>
        <w:rPr>
          <w:color w:val="000000"/>
        </w:rPr>
        <w:t xml:space="preserve"> and 0.069 mmol g</w:t>
      </w:r>
      <w:r w:rsidR="00936630" w:rsidRPr="00936630">
        <w:rPr>
          <w:rFonts w:eastAsia="宋体" w:hint="eastAsia"/>
          <w:color w:val="000000"/>
          <w:vertAlign w:val="superscript"/>
          <w:lang w:eastAsia="zh-CN"/>
        </w:rPr>
        <w:t>-1</w:t>
      </w:r>
      <w:r>
        <w:rPr>
          <w:color w:val="000000"/>
        </w:rPr>
        <w:t xml:space="preserve"> for S</w:t>
      </w:r>
      <w:r w:rsidR="00936630">
        <w:rPr>
          <w:rFonts w:eastAsia="宋体" w:hint="eastAsia"/>
          <w:color w:val="000000"/>
          <w:lang w:eastAsia="zh-CN"/>
        </w:rPr>
        <w:t>O</w:t>
      </w:r>
      <w:r w:rsidR="00936630" w:rsidRPr="00936630">
        <w:rPr>
          <w:rFonts w:eastAsia="宋体" w:hint="eastAsia"/>
          <w:color w:val="000000"/>
          <w:vertAlign w:val="subscript"/>
          <w:lang w:eastAsia="zh-CN"/>
        </w:rPr>
        <w:t>2</w:t>
      </w:r>
      <w:r>
        <w:rPr>
          <w:color w:val="000000"/>
        </w:rPr>
        <w:t>. The different temperature- and time-dependent adsorption optima of the two gases indicate distinct responses to synthesis-induced structural changes.</w:t>
      </w:r>
      <w:r w:rsidR="000B44FE">
        <w:rPr>
          <w:rFonts w:eastAsia="宋体" w:hint="eastAsia"/>
          <w:color w:val="000000"/>
          <w:lang w:eastAsia="zh-CN"/>
        </w:rPr>
        <w:t xml:space="preserve"> </w:t>
      </w:r>
      <w:r w:rsidR="000B44FE" w:rsidRPr="000B44FE">
        <w:rPr>
          <w:rFonts w:eastAsia="宋体"/>
          <w:color w:val="000000"/>
          <w:lang w:eastAsia="zh-CN"/>
        </w:rPr>
        <w:t>These results demonstrate the high-value conversion of PG into HAP and further establish the feasibility of PG-derived HAP as a potential adsorbent for industrial flue-gas purification.</w:t>
      </w:r>
    </w:p>
    <w:p w14:paraId="5C27E01E" w14:textId="1E19821A" w:rsidR="002829D1" w:rsidRPr="00936630" w:rsidRDefault="00000000" w:rsidP="00936630">
      <w:pPr>
        <w:jc w:val="both"/>
        <w:rPr>
          <w:rFonts w:eastAsia="宋体" w:hint="eastAsia"/>
          <w:iCs/>
          <w:lang w:eastAsia="zh-CN"/>
        </w:rPr>
      </w:pPr>
      <w:r w:rsidRPr="008B32C2">
        <w:rPr>
          <w:b/>
          <w:bCs/>
          <w:iCs/>
          <w:color w:val="000000"/>
        </w:rPr>
        <w:t>Keywords</w:t>
      </w:r>
      <w:r w:rsidRPr="00936630">
        <w:rPr>
          <w:iCs/>
          <w:color w:val="000000"/>
        </w:rPr>
        <w:t xml:space="preserve">: </w:t>
      </w:r>
      <w:r w:rsidR="008045C2">
        <w:rPr>
          <w:rFonts w:eastAsia="宋体" w:hint="eastAsia"/>
          <w:iCs/>
          <w:color w:val="000000"/>
          <w:lang w:eastAsia="zh-CN"/>
        </w:rPr>
        <w:t>P</w:t>
      </w:r>
      <w:r w:rsidRPr="00936630">
        <w:rPr>
          <w:iCs/>
          <w:color w:val="000000"/>
        </w:rPr>
        <w:t xml:space="preserve">hosphogypsum; </w:t>
      </w:r>
      <w:r w:rsidR="008045C2">
        <w:rPr>
          <w:rFonts w:eastAsia="宋体" w:hint="eastAsia"/>
          <w:iCs/>
          <w:color w:val="000000"/>
          <w:lang w:eastAsia="zh-CN"/>
        </w:rPr>
        <w:t>H</w:t>
      </w:r>
      <w:r w:rsidRPr="00936630">
        <w:rPr>
          <w:iCs/>
          <w:color w:val="000000"/>
        </w:rPr>
        <w:t xml:space="preserve">ydroxyapatite; </w:t>
      </w:r>
      <w:r w:rsidR="008045C2">
        <w:rPr>
          <w:rFonts w:eastAsia="宋体" w:hint="eastAsia"/>
          <w:iCs/>
          <w:color w:val="000000"/>
          <w:lang w:eastAsia="zh-CN"/>
        </w:rPr>
        <w:t>H</w:t>
      </w:r>
      <w:r w:rsidRPr="00936630">
        <w:rPr>
          <w:iCs/>
          <w:color w:val="000000"/>
        </w:rPr>
        <w:t xml:space="preserve">ydrothermal </w:t>
      </w:r>
      <w:r w:rsidR="008045C2">
        <w:rPr>
          <w:rFonts w:eastAsia="宋体" w:hint="eastAsia"/>
          <w:iCs/>
          <w:color w:val="000000"/>
          <w:lang w:eastAsia="zh-CN"/>
        </w:rPr>
        <w:t>c</w:t>
      </w:r>
      <w:r w:rsidRPr="00936630">
        <w:rPr>
          <w:iCs/>
          <w:color w:val="000000"/>
        </w:rPr>
        <w:t>onversion</w:t>
      </w:r>
      <w:r w:rsidR="00634030">
        <w:rPr>
          <w:rFonts w:eastAsia="宋体" w:hint="eastAsia"/>
          <w:iCs/>
          <w:color w:val="000000"/>
          <w:lang w:eastAsia="zh-CN"/>
        </w:rPr>
        <w:t>;</w:t>
      </w:r>
      <w:r w:rsidRPr="00936630">
        <w:rPr>
          <w:iCs/>
          <w:color w:val="000000"/>
        </w:rPr>
        <w:t xml:space="preserve"> </w:t>
      </w:r>
      <w:r w:rsidR="008045C2">
        <w:rPr>
          <w:rFonts w:eastAsia="宋体" w:hint="eastAsia"/>
          <w:color w:val="000000"/>
          <w:lang w:eastAsia="zh-CN"/>
        </w:rPr>
        <w:t>I</w:t>
      </w:r>
      <w:r w:rsidR="00634030" w:rsidRPr="000B44FE">
        <w:rPr>
          <w:rFonts w:eastAsia="宋体"/>
          <w:color w:val="000000"/>
          <w:lang w:eastAsia="zh-CN"/>
        </w:rPr>
        <w:t>ndustrial flue-gas</w:t>
      </w:r>
      <w:r w:rsidR="00634030" w:rsidRPr="00634030">
        <w:rPr>
          <w:rFonts w:eastAsia="宋体" w:hint="eastAsia"/>
          <w:iCs/>
          <w:color w:val="000000"/>
          <w:lang w:eastAsia="zh-CN"/>
        </w:rPr>
        <w:t>;</w:t>
      </w:r>
      <w:r w:rsidR="00634030">
        <w:rPr>
          <w:rFonts w:ascii="宋体" w:eastAsia="宋体" w:hAnsi="宋体" w:hint="eastAsia"/>
          <w:iCs/>
          <w:color w:val="000000"/>
          <w:lang w:eastAsia="zh-CN"/>
        </w:rPr>
        <w:t xml:space="preserve"> </w:t>
      </w:r>
      <w:r w:rsidRPr="00936630">
        <w:rPr>
          <w:iCs/>
          <w:color w:val="000000"/>
        </w:rPr>
        <w:t>CO</w:t>
      </w:r>
      <w:r w:rsidR="00936630" w:rsidRPr="00936630">
        <w:rPr>
          <w:rFonts w:eastAsia="宋体" w:hint="eastAsia"/>
          <w:iCs/>
          <w:color w:val="000000"/>
          <w:vertAlign w:val="subscript"/>
          <w:lang w:eastAsia="zh-CN"/>
        </w:rPr>
        <w:t>2</w:t>
      </w:r>
      <w:r w:rsidRPr="00936630">
        <w:rPr>
          <w:iCs/>
          <w:color w:val="000000"/>
        </w:rPr>
        <w:t xml:space="preserve"> adsorption; SO</w:t>
      </w:r>
      <w:r w:rsidR="00936630" w:rsidRPr="00936630">
        <w:rPr>
          <w:rFonts w:eastAsia="宋体" w:hint="eastAsia"/>
          <w:iCs/>
          <w:color w:val="000000"/>
          <w:vertAlign w:val="subscript"/>
          <w:lang w:eastAsia="zh-CN"/>
        </w:rPr>
        <w:t>2</w:t>
      </w:r>
      <w:r w:rsidRPr="00936630">
        <w:rPr>
          <w:iCs/>
          <w:color w:val="000000"/>
        </w:rPr>
        <w:t xml:space="preserve"> adsorption</w:t>
      </w:r>
    </w:p>
    <w:p w14:paraId="00CDCAF3" w14:textId="77777777" w:rsidR="002829D1" w:rsidRPr="008B32C2" w:rsidRDefault="00000000">
      <w:pPr>
        <w:pStyle w:val="1"/>
        <w:rPr>
          <w:rFonts w:ascii="Times New Roman" w:hAnsi="Times New Roman" w:cs="Times New Roman"/>
          <w:color w:val="000000" w:themeColor="text1"/>
        </w:rPr>
      </w:pPr>
      <w:r w:rsidRPr="008B32C2">
        <w:rPr>
          <w:rFonts w:ascii="Times New Roman" w:hAnsi="Times New Roman" w:cs="Times New Roman"/>
          <w:color w:val="000000" w:themeColor="text1"/>
        </w:rPr>
        <w:t>1. Introduction</w:t>
      </w:r>
    </w:p>
    <w:p w14:paraId="71EF7CE7" w14:textId="77777777" w:rsidR="002829D1" w:rsidRDefault="00000000">
      <w:pPr>
        <w:ind w:firstLine="420"/>
        <w:jc w:val="both"/>
      </w:pPr>
      <w:r>
        <w:rPr>
          <w:color w:val="000000"/>
        </w:rPr>
        <w:t>Phosphogypsum is generated in large quantities during the wet-process production of phosphoric acid. Its principal component is calcium sulfate hydrate, accompanied by phosphorus-, silicon-, fluorine-, iron-, aluminum-, strontium-, and barium-containing impurities originating from phosphate ore and industrial processing. Although PG has been used in construction materials, cement regulation, and soil improvement, a substantial proportion remains stockpiled. The continued accumulation of PG occupies land resources and creates long-term environmental-management pressure. Consequently, the development of high-value conversion routes is more desirable than relying exclusively on conventional bulk utilization.</w:t>
      </w:r>
    </w:p>
    <w:p w14:paraId="0B97A5B4" w14:textId="74CEF64F" w:rsidR="002829D1" w:rsidRDefault="00000000">
      <w:pPr>
        <w:ind w:firstLine="420"/>
        <w:jc w:val="both"/>
      </w:pPr>
      <w:r>
        <w:rPr>
          <w:color w:val="000000"/>
        </w:rPr>
        <w:t>Hydroxyapatite</w:t>
      </w:r>
      <w:r w:rsidR="00B73E80">
        <w:rPr>
          <w:rFonts w:eastAsia="宋体" w:hint="eastAsia"/>
          <w:color w:val="000000"/>
          <w:lang w:eastAsia="zh-CN"/>
        </w:rPr>
        <w:t xml:space="preserve"> (</w:t>
      </w:r>
      <w:r>
        <w:rPr>
          <w:color w:val="000000"/>
        </w:rPr>
        <w:t>Ca</w:t>
      </w:r>
      <w:r w:rsidR="00A36531" w:rsidRPr="00A36531">
        <w:rPr>
          <w:rFonts w:eastAsia="宋体" w:hint="eastAsia"/>
          <w:color w:val="000000"/>
          <w:vertAlign w:val="subscript"/>
          <w:lang w:eastAsia="zh-CN"/>
        </w:rPr>
        <w:t>10</w:t>
      </w:r>
      <w:r>
        <w:rPr>
          <w:color w:val="000000"/>
        </w:rPr>
        <w:t>(PO</w:t>
      </w:r>
      <w:r w:rsidR="00A36531" w:rsidRPr="00A36531">
        <w:rPr>
          <w:rFonts w:eastAsia="宋体" w:hint="eastAsia"/>
          <w:color w:val="000000"/>
          <w:vertAlign w:val="subscript"/>
          <w:lang w:eastAsia="zh-CN"/>
        </w:rPr>
        <w:t>4</w:t>
      </w:r>
      <w:r>
        <w:rPr>
          <w:color w:val="000000"/>
        </w:rPr>
        <w:t>)</w:t>
      </w:r>
      <w:r w:rsidR="00A36531" w:rsidRPr="00A36531">
        <w:rPr>
          <w:rFonts w:eastAsia="宋体" w:hint="eastAsia"/>
          <w:color w:val="000000"/>
          <w:vertAlign w:val="subscript"/>
          <w:lang w:eastAsia="zh-CN"/>
        </w:rPr>
        <w:t>6</w:t>
      </w:r>
      <w:r>
        <w:rPr>
          <w:color w:val="000000"/>
        </w:rPr>
        <w:t>(OH)</w:t>
      </w:r>
      <w:r w:rsidR="00A36531" w:rsidRPr="00A36531">
        <w:rPr>
          <w:rFonts w:eastAsia="宋体" w:hint="eastAsia"/>
          <w:color w:val="000000"/>
          <w:vertAlign w:val="subscript"/>
          <w:lang w:eastAsia="zh-CN"/>
        </w:rPr>
        <w:t>2</w:t>
      </w:r>
      <w:r w:rsidR="00B73E80" w:rsidRPr="00B73E80">
        <w:rPr>
          <w:rFonts w:eastAsia="宋体" w:hint="eastAsia"/>
          <w:color w:val="000000"/>
          <w:lang w:eastAsia="zh-CN"/>
        </w:rPr>
        <w:t>)</w:t>
      </w:r>
      <w:r>
        <w:rPr>
          <w:color w:val="000000"/>
        </w:rPr>
        <w:t xml:space="preserve">, is a stable calcium phosphate with controllable crystallinity, morphology, and surface chemistry. Because PG contains an abundant calcium inventory, it can serve as a low-cost calcium precursor for HAP synthesis. Previous studies have demonstrated that PG can be converted into nanocrystalline HAP under alkaline or hydrothermal conditions. Mousa and </w:t>
      </w:r>
      <w:r>
        <w:rPr>
          <w:color w:val="000000"/>
        </w:rPr>
        <w:lastRenderedPageBreak/>
        <w:t>Hanna reported the preparation of nanocrystalline HAP from PG in an ammoniacal medium, while Bensalah et al. showed that pH, temperature, and hydrothermal time strongly affect the phase purity and nanorod morphology of PG-derived HAP. These studies confirm the feasibility of PG-to-HAP conversion, but the transformation remains sensitive to precursor chemistry and reaction conditions.</w:t>
      </w:r>
    </w:p>
    <w:p w14:paraId="53BCAC1A" w14:textId="77777777" w:rsidR="002829D1" w:rsidRDefault="00000000">
      <w:pPr>
        <w:ind w:firstLine="420"/>
        <w:jc w:val="both"/>
      </w:pPr>
      <w:r>
        <w:rPr>
          <w:color w:val="000000"/>
        </w:rPr>
        <w:t>For a real industrial PG feedstock, the formation of HAP involves more than simple precipitation from soluble calcium salts. The sulfate-rich crystal matrix must first be disrupted or partially dissolved, after which calcium-containing species react with phosphate and hydroxide to form and grow the HAP phase. The identities of the phosphate and alkali sources, together with pH, temperature, and reaction time, may therefore influence calcium release, phosphate speciation, HAP nucleation, residual sulfate removal, and crystal morphology. An integrated analysis of these factors is necessary to establish a practical conversion route and a reasonable interpretation of the structural evolution.</w:t>
      </w:r>
    </w:p>
    <w:p w14:paraId="082346C1" w14:textId="064E9DDF" w:rsidR="002829D1" w:rsidRDefault="00000000">
      <w:pPr>
        <w:ind w:firstLine="420"/>
        <w:jc w:val="both"/>
      </w:pPr>
      <w:r>
        <w:rPr>
          <w:color w:val="000000"/>
        </w:rPr>
        <w:t>HAP also contains Ca-, phosphate-, and hydroxyl-associated surface environments that may interact with acidic gases. This property provides an opportunity to evaluate whether structural differences generated during PG conversion translate into a measurable environmental function. In th</w:t>
      </w:r>
      <w:r w:rsidR="00A36531">
        <w:rPr>
          <w:rFonts w:eastAsia="宋体" w:hint="eastAsia"/>
          <w:color w:val="000000"/>
          <w:lang w:eastAsia="zh-CN"/>
        </w:rPr>
        <w:t>is study</w:t>
      </w:r>
      <w:r>
        <w:rPr>
          <w:color w:val="000000"/>
        </w:rPr>
        <w:t>, dynamic CO</w:t>
      </w:r>
      <w:r w:rsidR="00A36531" w:rsidRPr="00A36531">
        <w:rPr>
          <w:rFonts w:eastAsia="宋体" w:hint="eastAsia"/>
          <w:color w:val="000000"/>
          <w:vertAlign w:val="subscript"/>
          <w:lang w:eastAsia="zh-CN"/>
        </w:rPr>
        <w:t>2</w:t>
      </w:r>
      <w:r>
        <w:rPr>
          <w:color w:val="000000"/>
        </w:rPr>
        <w:t xml:space="preserve"> and SO</w:t>
      </w:r>
      <w:r w:rsidR="00A36531" w:rsidRPr="00A36531">
        <w:rPr>
          <w:rFonts w:eastAsia="宋体" w:hint="eastAsia"/>
          <w:color w:val="000000"/>
          <w:vertAlign w:val="subscript"/>
          <w:lang w:eastAsia="zh-CN"/>
        </w:rPr>
        <w:t>2</w:t>
      </w:r>
      <w:r>
        <w:rPr>
          <w:color w:val="000000"/>
        </w:rPr>
        <w:t xml:space="preserve"> adsorption under simulated flue-gas conditions was therefore used as an application test of the synthesized materials. The adsorption section is intended to validate the functionality of PG-derived HAP rather than redefine the study as a gas-adsorption-centered investigation.</w:t>
      </w:r>
    </w:p>
    <w:p w14:paraId="4C5DFD67" w14:textId="47C761A6" w:rsidR="002829D1" w:rsidRDefault="00000000">
      <w:pPr>
        <w:ind w:firstLine="420"/>
        <w:jc w:val="both"/>
      </w:pPr>
      <w:r>
        <w:rPr>
          <w:color w:val="000000"/>
        </w:rPr>
        <w:t>Accordingly, this study aimed to characterize the raw PG, regulate its hydrothermal conversion into HAP through phosphate/alkali source, pH, temperature, and time, integrate XRD, FTIR, Raman, SEM, EDS, and mapping evidence to propose a possible conversion pathway, and identify a representative HAP synthesis condition. The selected materials were subsequently assessed by dynamic CO</w:t>
      </w:r>
      <w:r w:rsidR="00A36531" w:rsidRPr="00A36531">
        <w:rPr>
          <w:rFonts w:eastAsia="宋体" w:hint="eastAsia"/>
          <w:color w:val="000000"/>
          <w:vertAlign w:val="subscript"/>
          <w:lang w:eastAsia="zh-CN"/>
        </w:rPr>
        <w:t>2</w:t>
      </w:r>
      <w:r w:rsidR="00A36531">
        <w:rPr>
          <w:rFonts w:eastAsia="宋体" w:hint="eastAsia"/>
          <w:color w:val="000000"/>
          <w:lang w:eastAsia="zh-CN"/>
        </w:rPr>
        <w:t>/</w:t>
      </w:r>
      <w:r>
        <w:rPr>
          <w:color w:val="000000"/>
        </w:rPr>
        <w:t>SO</w:t>
      </w:r>
      <w:r w:rsidR="00A36531" w:rsidRPr="00A36531">
        <w:rPr>
          <w:rFonts w:eastAsia="宋体" w:hint="eastAsia"/>
          <w:color w:val="000000"/>
          <w:vertAlign w:val="subscript"/>
          <w:lang w:eastAsia="zh-CN"/>
        </w:rPr>
        <w:t>2</w:t>
      </w:r>
      <w:r>
        <w:rPr>
          <w:color w:val="000000"/>
        </w:rPr>
        <w:t xml:space="preserve"> breakthrough experiments in simulated industrial flue gas to demonstrate their potential downstream application.</w:t>
      </w:r>
    </w:p>
    <w:p w14:paraId="4DB2CBC0" w14:textId="77777777" w:rsidR="002829D1" w:rsidRPr="008B32C2" w:rsidRDefault="00000000">
      <w:pPr>
        <w:pStyle w:val="1"/>
        <w:rPr>
          <w:rFonts w:ascii="Times New Roman" w:hAnsi="Times New Roman" w:cs="Times New Roman"/>
          <w:color w:val="000000" w:themeColor="text1"/>
        </w:rPr>
      </w:pPr>
      <w:r w:rsidRPr="008B32C2">
        <w:rPr>
          <w:rFonts w:ascii="Times New Roman" w:hAnsi="Times New Roman" w:cs="Times New Roman"/>
          <w:color w:val="000000" w:themeColor="text1"/>
        </w:rPr>
        <w:t>2. Materials and methods</w:t>
      </w:r>
    </w:p>
    <w:p w14:paraId="5F3F7045"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2.1. PG characterization and pretreatment</w:t>
      </w:r>
    </w:p>
    <w:p w14:paraId="1FC2FA02" w14:textId="77777777" w:rsidR="002829D1" w:rsidRDefault="00000000">
      <w:pPr>
        <w:ind w:firstLine="420"/>
        <w:jc w:val="both"/>
      </w:pPr>
      <w:r>
        <w:rPr>
          <w:color w:val="000000"/>
        </w:rPr>
        <w:t>The PG used in this study was obtained from an industrial source in Guizhou, China. Before hydrothermal conversion, the material was dried, ground, sieved, and stored under dry conditions. The mineral phase and morphology of the raw PG were characterized by XRD and SEM, respectively. Its major and selected minor elemental components were determined by XRF and ICP-OES. The characterization focused on the calcium- and sulfur-rich matrix and on the principal impurity elements that could influence HAP formation and product purity.</w:t>
      </w:r>
    </w:p>
    <w:p w14:paraId="44C5D40F" w14:textId="77777777" w:rsidR="002829D1" w:rsidRPr="008B32C2" w:rsidRDefault="00000000">
      <w:pPr>
        <w:pStyle w:val="21"/>
        <w:rPr>
          <w:rFonts w:ascii="Times New Roman" w:hAnsi="Times New Roman" w:cs="Times New Roman"/>
        </w:rPr>
      </w:pPr>
      <w:r w:rsidRPr="008B32C2">
        <w:rPr>
          <w:rFonts w:ascii="Times New Roman" w:hAnsi="Times New Roman" w:cs="Times New Roman"/>
          <w:color w:val="000000" w:themeColor="text1"/>
        </w:rPr>
        <w:t>2.2. Hydrothermal conversion of PG into HAP</w:t>
      </w:r>
    </w:p>
    <w:p w14:paraId="746518B7" w14:textId="2DE0E8D8" w:rsidR="002829D1" w:rsidRDefault="00000000">
      <w:pPr>
        <w:ind w:firstLine="420"/>
        <w:jc w:val="both"/>
      </w:pPr>
      <w:r>
        <w:rPr>
          <w:color w:val="000000"/>
        </w:rPr>
        <w:t>A typical synthesis used 2.4487 g of pretreated PG, corresponding to approximately 16.7 mmol Ca</w:t>
      </w:r>
      <w:r w:rsidR="00A36531" w:rsidRPr="00A36531">
        <w:rPr>
          <w:rFonts w:eastAsia="宋体" w:hint="eastAsia"/>
          <w:color w:val="000000"/>
          <w:vertAlign w:val="superscript"/>
          <w:lang w:eastAsia="zh-CN"/>
        </w:rPr>
        <w:t>2+</w:t>
      </w:r>
      <w:r>
        <w:rPr>
          <w:color w:val="000000"/>
        </w:rPr>
        <w:t>, and 10.0 mmol of phosphate precursor. Three phosphate/alkali systems were compared: (NH</w:t>
      </w:r>
      <w:r w:rsidR="00A36531" w:rsidRPr="00A36531">
        <w:rPr>
          <w:rFonts w:eastAsia="宋体" w:hint="eastAsia"/>
          <w:color w:val="000000"/>
          <w:vertAlign w:val="subscript"/>
          <w:lang w:eastAsia="zh-CN"/>
        </w:rPr>
        <w:t>4</w:t>
      </w:r>
      <w:r>
        <w:rPr>
          <w:color w:val="000000"/>
        </w:rPr>
        <w:t>)</w:t>
      </w:r>
      <w:r w:rsidR="00A36531" w:rsidRPr="00A36531">
        <w:rPr>
          <w:rFonts w:eastAsia="宋体" w:hint="eastAsia"/>
          <w:color w:val="000000"/>
          <w:vertAlign w:val="subscript"/>
          <w:lang w:eastAsia="zh-CN"/>
        </w:rPr>
        <w:t>2</w:t>
      </w:r>
      <w:r>
        <w:rPr>
          <w:color w:val="000000"/>
        </w:rPr>
        <w:t>HPO</w:t>
      </w:r>
      <w:r w:rsidR="00A36531" w:rsidRPr="00A36531">
        <w:rPr>
          <w:rFonts w:eastAsia="宋体" w:hint="eastAsia"/>
          <w:color w:val="000000"/>
          <w:vertAlign w:val="subscript"/>
          <w:lang w:eastAsia="zh-CN"/>
        </w:rPr>
        <w:t>4</w:t>
      </w:r>
      <w:r>
        <w:rPr>
          <w:color w:val="000000"/>
        </w:rPr>
        <w:t>/NH</w:t>
      </w:r>
      <w:r w:rsidR="00A36531" w:rsidRPr="00A36531">
        <w:rPr>
          <w:rFonts w:eastAsia="宋体" w:hint="eastAsia"/>
          <w:color w:val="000000"/>
          <w:vertAlign w:val="subscript"/>
          <w:lang w:eastAsia="zh-CN"/>
        </w:rPr>
        <w:t>3</w:t>
      </w:r>
      <w:r w:rsidR="00A36531">
        <w:rPr>
          <w:color w:val="000000"/>
        </w:rPr>
        <w:sym w:font="Wingdings" w:char="F09E"/>
      </w:r>
      <w:r>
        <w:rPr>
          <w:color w:val="000000"/>
        </w:rPr>
        <w:t>H</w:t>
      </w:r>
      <w:r w:rsidR="00A36531" w:rsidRPr="00A36531">
        <w:rPr>
          <w:rFonts w:eastAsia="宋体" w:hint="eastAsia"/>
          <w:color w:val="000000"/>
          <w:vertAlign w:val="subscript"/>
          <w:lang w:eastAsia="zh-CN"/>
        </w:rPr>
        <w:t>2</w:t>
      </w:r>
      <w:r>
        <w:rPr>
          <w:color w:val="000000"/>
        </w:rPr>
        <w:t>O, Na</w:t>
      </w:r>
      <w:r w:rsidR="00A36531" w:rsidRPr="00A36531">
        <w:rPr>
          <w:rFonts w:eastAsia="宋体" w:hint="eastAsia"/>
          <w:color w:val="000000"/>
          <w:vertAlign w:val="subscript"/>
          <w:lang w:eastAsia="zh-CN"/>
        </w:rPr>
        <w:t>2</w:t>
      </w:r>
      <w:r>
        <w:rPr>
          <w:color w:val="000000"/>
        </w:rPr>
        <w:t>HPO</w:t>
      </w:r>
      <w:r w:rsidR="00A36531" w:rsidRPr="00A36531">
        <w:rPr>
          <w:rFonts w:eastAsia="宋体" w:hint="eastAsia"/>
          <w:color w:val="000000"/>
          <w:vertAlign w:val="subscript"/>
          <w:lang w:eastAsia="zh-CN"/>
        </w:rPr>
        <w:t>4</w:t>
      </w:r>
      <w:r>
        <w:rPr>
          <w:color w:val="000000"/>
        </w:rPr>
        <w:t>/NaOH, and K</w:t>
      </w:r>
      <w:r w:rsidR="00A36531" w:rsidRPr="00A36531">
        <w:rPr>
          <w:rFonts w:eastAsia="宋体" w:hint="eastAsia"/>
          <w:color w:val="000000"/>
          <w:vertAlign w:val="subscript"/>
          <w:lang w:eastAsia="zh-CN"/>
        </w:rPr>
        <w:t>2</w:t>
      </w:r>
      <w:r>
        <w:rPr>
          <w:color w:val="000000"/>
        </w:rPr>
        <w:t>HPO</w:t>
      </w:r>
      <w:r w:rsidR="00A36531" w:rsidRPr="00A36531">
        <w:rPr>
          <w:rFonts w:eastAsia="宋体" w:hint="eastAsia"/>
          <w:color w:val="000000"/>
          <w:vertAlign w:val="subscript"/>
          <w:lang w:eastAsia="zh-CN"/>
        </w:rPr>
        <w:t>4</w:t>
      </w:r>
      <w:r>
        <w:rPr>
          <w:color w:val="000000"/>
        </w:rPr>
        <w:t xml:space="preserve">/KOH. The resulting products were denoted N-HAP, Na-HAP, and K-HAP, respectively. PG and the selected phosphate source were dispersed in deionized water and mixed under magnetic stirring at 500 rpm. After the initial mixing stage, the </w:t>
      </w:r>
      <w:r>
        <w:rPr>
          <w:color w:val="000000"/>
        </w:rPr>
        <w:lastRenderedPageBreak/>
        <w:t>suspension was adjusted to the target pH and transferred into a 250 mL Teflon-lined stainless-steel autoclave. Following hydrothermal treatment, the reactor was allowed to cool naturally, and the solid product was freeze-dried, ground, and stored in a desiccator.</w:t>
      </w:r>
    </w:p>
    <w:p w14:paraId="65721971" w14:textId="76257C4F" w:rsidR="002829D1" w:rsidRDefault="00000000">
      <w:pPr>
        <w:ind w:firstLine="420"/>
        <w:jc w:val="both"/>
      </w:pPr>
      <w:r>
        <w:rPr>
          <w:color w:val="000000"/>
        </w:rPr>
        <w:t xml:space="preserve">The effects of initial pH, hydrothermal temperature, and reaction time were investigated systematically. The pH values were 9, 10, and 11; the temperatures were 120, 140, 160, 180, and 200 °C; and the reaction times were 12, 24, 36, 48, 60, and 72 h. </w:t>
      </w:r>
      <w:r w:rsidR="00E37A3E">
        <w:rPr>
          <w:rFonts w:eastAsia="宋体" w:hint="eastAsia"/>
          <w:color w:val="000000"/>
          <w:lang w:eastAsia="zh-CN"/>
        </w:rPr>
        <w:t>O</w:t>
      </w:r>
      <w:r>
        <w:rPr>
          <w:color w:val="000000"/>
        </w:rPr>
        <w:t>nly one parameter was varied at a time while the remaining conditions were kept constant. The resulting sample was used to determine how the chemical environment and hydrothermal severity affected PG conversion and HAP crystal development.</w:t>
      </w:r>
    </w:p>
    <w:p w14:paraId="6DDD167E"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2.3. Characterization</w:t>
      </w:r>
    </w:p>
    <w:p w14:paraId="55B4C97F" w14:textId="77777777" w:rsidR="002829D1" w:rsidRDefault="00000000">
      <w:pPr>
        <w:ind w:firstLine="420"/>
        <w:jc w:val="both"/>
      </w:pPr>
      <w:r>
        <w:rPr>
          <w:color w:val="000000"/>
        </w:rPr>
        <w:t>The morphology and aggregation state of the synthesized products were examined by SEM. Their phase composition and crystallization characteristics were evaluated by XRD. FTIR and Raman spectroscopy were used to identify phosphate-, hydroxyl-, sulfate-, water-, and carbonate-related vibrations. EDS and elemental mapping were applied to examine the distribution of Ca, P, O, and S. These complementary methods were interpreted together to distinguish HAP formation from residual PG-related phases and to evaluate the influence of synthesis conditions on the conversion process.</w:t>
      </w:r>
    </w:p>
    <w:p w14:paraId="13A2F25E"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2.4. Dynamic flue-gas adsorption as an application test</w:t>
      </w:r>
    </w:p>
    <w:p w14:paraId="6D38C2D5" w14:textId="420BBFF7" w:rsidR="002829D1" w:rsidRDefault="00000000">
      <w:pPr>
        <w:ind w:firstLine="420"/>
        <w:jc w:val="both"/>
      </w:pPr>
      <w:r>
        <w:rPr>
          <w:color w:val="000000"/>
        </w:rPr>
        <w:t>Dynamic adsorption experiments were performed using a multicomponent fixed-bed breakthrough system equipped with online gas analysis. Approximately 500 mg of HAP was packed into an adsorption column with an internal diameter of 6.0 mm and an effective bed length of 100 mm. Before adsorption, the material was activated under He at 350 °C for 120 min and then cooled to the adsorption temperature of 120 °C. The simulated flue gas was introduced at a total flow rate of 10 sccm and contained 12.21% CO</w:t>
      </w:r>
      <w:r w:rsidR="00A36531" w:rsidRPr="00A36531">
        <w:rPr>
          <w:rFonts w:eastAsia="宋体" w:hint="eastAsia"/>
          <w:color w:val="000000"/>
          <w:vertAlign w:val="subscript"/>
          <w:lang w:eastAsia="zh-CN"/>
        </w:rPr>
        <w:t>2</w:t>
      </w:r>
      <w:r>
        <w:rPr>
          <w:color w:val="000000"/>
        </w:rPr>
        <w:t>, 0.25% SO</w:t>
      </w:r>
      <w:r w:rsidR="00A36531" w:rsidRPr="00A36531">
        <w:rPr>
          <w:rFonts w:eastAsia="宋体" w:hint="eastAsia"/>
          <w:color w:val="000000"/>
          <w:vertAlign w:val="subscript"/>
          <w:lang w:eastAsia="zh-CN"/>
        </w:rPr>
        <w:t>2</w:t>
      </w:r>
      <w:r>
        <w:rPr>
          <w:color w:val="000000"/>
        </w:rPr>
        <w:t>, 6.11% O</w:t>
      </w:r>
      <w:r w:rsidR="00A36531" w:rsidRPr="00A36531">
        <w:rPr>
          <w:rFonts w:eastAsia="宋体" w:hint="eastAsia"/>
          <w:color w:val="000000"/>
          <w:vertAlign w:val="subscript"/>
          <w:lang w:eastAsia="zh-CN"/>
        </w:rPr>
        <w:t>2</w:t>
      </w:r>
      <w:r>
        <w:rPr>
          <w:color w:val="000000"/>
        </w:rPr>
        <w:t>, and 81.43% N</w:t>
      </w:r>
      <w:r w:rsidR="00A36531" w:rsidRPr="00A36531">
        <w:rPr>
          <w:rFonts w:eastAsia="宋体" w:hint="eastAsia"/>
          <w:color w:val="000000"/>
          <w:vertAlign w:val="subscript"/>
          <w:lang w:eastAsia="zh-CN"/>
        </w:rPr>
        <w:t>2</w:t>
      </w:r>
      <w:r>
        <w:rPr>
          <w:color w:val="000000"/>
        </w:rPr>
        <w:t>.</w:t>
      </w:r>
    </w:p>
    <w:p w14:paraId="3597588B" w14:textId="5F660F87" w:rsidR="002829D1" w:rsidRDefault="00000000">
      <w:pPr>
        <w:ind w:firstLine="420"/>
        <w:jc w:val="both"/>
      </w:pPr>
      <w:r>
        <w:rPr>
          <w:color w:val="000000"/>
        </w:rPr>
        <w:t>The outlet concentration was recorded continuously and expressed as C/C</w:t>
      </w:r>
      <w:r w:rsidR="00A36531" w:rsidRPr="00A36531">
        <w:rPr>
          <w:rFonts w:eastAsia="宋体" w:hint="eastAsia"/>
          <w:color w:val="000000"/>
          <w:vertAlign w:val="subscript"/>
          <w:lang w:eastAsia="zh-CN"/>
        </w:rPr>
        <w:t>0</w:t>
      </w:r>
      <w:r>
        <w:rPr>
          <w:color w:val="000000"/>
        </w:rPr>
        <w:t xml:space="preserve"> as a function of time. The breakthrough point was defined within </w:t>
      </w:r>
      <w:r w:rsidR="00A36531">
        <w:rPr>
          <w:color w:val="000000"/>
        </w:rPr>
        <w:t>C/C</w:t>
      </w:r>
      <w:r w:rsidR="00A36531" w:rsidRPr="00A36531">
        <w:rPr>
          <w:rFonts w:eastAsia="宋体" w:hint="eastAsia"/>
          <w:color w:val="000000"/>
          <w:vertAlign w:val="subscript"/>
          <w:lang w:eastAsia="zh-CN"/>
        </w:rPr>
        <w:t>0</w:t>
      </w:r>
      <w:r>
        <w:rPr>
          <w:color w:val="000000"/>
        </w:rPr>
        <w:t xml:space="preserve"> = 0.05</w:t>
      </w:r>
      <w:r w:rsidR="00A36531">
        <w:rPr>
          <w:rFonts w:eastAsia="宋体" w:hint="eastAsia"/>
          <w:color w:val="000000"/>
          <w:lang w:eastAsia="zh-CN"/>
        </w:rPr>
        <w:t>-</w:t>
      </w:r>
      <w:r>
        <w:rPr>
          <w:color w:val="000000"/>
        </w:rPr>
        <w:t>0.10 and was used as the principal engineering indicator for comparing the materials. Half-dry and dry-point capacities were retained as supporting descriptors.</w:t>
      </w:r>
    </w:p>
    <w:p w14:paraId="0FB5861F" w14:textId="77777777" w:rsidR="002829D1" w:rsidRPr="008B32C2" w:rsidRDefault="00000000">
      <w:pPr>
        <w:pStyle w:val="1"/>
        <w:rPr>
          <w:rFonts w:ascii="Times New Roman" w:hAnsi="Times New Roman" w:cs="Times New Roman"/>
          <w:color w:val="000000" w:themeColor="text1"/>
        </w:rPr>
      </w:pPr>
      <w:r w:rsidRPr="008B32C2">
        <w:rPr>
          <w:rFonts w:ascii="Times New Roman" w:hAnsi="Times New Roman" w:cs="Times New Roman"/>
          <w:color w:val="000000" w:themeColor="text1"/>
        </w:rPr>
        <w:t>3. Results and discussion</w:t>
      </w:r>
    </w:p>
    <w:p w14:paraId="41E71E6A"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3.1. Raw PG physicochemical characteristics</w:t>
      </w:r>
    </w:p>
    <w:p w14:paraId="5A86A977" w14:textId="77777777" w:rsidR="002829D1" w:rsidRDefault="00000000">
      <w:pPr>
        <w:ind w:firstLine="420"/>
        <w:jc w:val="both"/>
      </w:pPr>
      <w:r>
        <w:rPr>
          <w:color w:val="000000"/>
        </w:rPr>
        <w:t>The raw PG was dominated by calcium and sulfur, consistent with calcium sulfate hydrate as the principal mineral matrix. Lower concentrations of P, Si, Ba, Al, Fe, Sr, and F reflected the chemically complex composition of a real industrial by-product. XRD confirmed the sulfate-hydrate-dominated phase assemblage, while SEM revealed the characteristic morphology of the untreated material. These results demonstrate that PG provides a substantial calcium source for HAP synthesis but differs fundamentally from reagent-grade soluble calcium salts because calcium release requires disruption of a sulfate-rich crystal matrix.</w:t>
      </w:r>
    </w:p>
    <w:p w14:paraId="7B2015B7" w14:textId="77777777" w:rsidR="002829D1" w:rsidRDefault="00000000">
      <w:pPr>
        <w:ind w:firstLine="420"/>
        <w:jc w:val="both"/>
      </w:pPr>
      <w:r>
        <w:rPr>
          <w:color w:val="000000"/>
        </w:rPr>
        <w:lastRenderedPageBreak/>
        <w:t>The starting composition is important for interpreting the subsequent conversion. Residual sulfate signals in the products may indicate incomplete transformation, while silicon- or other impurity-related phases may persist even after HAP formation. Therefore, the effectiveness of the hydrothermal process should be evaluated using the combined evolution of mineral phases, functional groups, elemental distribution, and morphology rather than relying on a single characterization result.</w:t>
      </w:r>
    </w:p>
    <w:p w14:paraId="78E09469"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3.2. Effects of phosphate/alkali source on PG-to-HAP conversion</w:t>
      </w:r>
    </w:p>
    <w:p w14:paraId="5AAA71A9" w14:textId="77777777" w:rsidR="002829D1" w:rsidRDefault="00000000">
      <w:pPr>
        <w:ind w:firstLine="420"/>
        <w:jc w:val="both"/>
      </w:pPr>
      <w:r>
        <w:rPr>
          <w:color w:val="000000"/>
        </w:rPr>
        <w:t>The phosphate and alkali sources strongly influenced the extent of PG conversion and the morphology of the resulting products. The ammonium-based system produced more clearly developed HAP crystals and a comparatively favorable rod-like or columnar morphology, whereas the sodium- and potassium-based products showed smaller particles and stronger aggregation. XRD, FTIR, and Raman results indicated more evident sulfate-related residues in Na-HAP and K-HAP than in N-HAP. EDS and elemental mapping further showed that the ammonium-derived product had a more favorable Ca–P–O distribution and less persistent sulfur signal.</w:t>
      </w:r>
    </w:p>
    <w:p w14:paraId="57D7416D" w14:textId="2ABB7279" w:rsidR="002829D1" w:rsidRDefault="00000000">
      <w:pPr>
        <w:ind w:firstLine="420"/>
        <w:jc w:val="both"/>
      </w:pPr>
      <w:r>
        <w:rPr>
          <w:color w:val="000000"/>
        </w:rPr>
        <w:t xml:space="preserve">These observations indicate that the </w:t>
      </w:r>
      <w:r w:rsidR="00A36531">
        <w:rPr>
          <w:color w:val="000000"/>
        </w:rPr>
        <w:t>(NH</w:t>
      </w:r>
      <w:r w:rsidR="00A36531" w:rsidRPr="00A36531">
        <w:rPr>
          <w:rFonts w:eastAsia="宋体" w:hint="eastAsia"/>
          <w:color w:val="000000"/>
          <w:vertAlign w:val="subscript"/>
          <w:lang w:eastAsia="zh-CN"/>
        </w:rPr>
        <w:t>4</w:t>
      </w:r>
      <w:r w:rsidR="00A36531">
        <w:rPr>
          <w:color w:val="000000"/>
        </w:rPr>
        <w:t>)</w:t>
      </w:r>
      <w:r w:rsidR="00A36531" w:rsidRPr="00A36531">
        <w:rPr>
          <w:rFonts w:eastAsia="宋体" w:hint="eastAsia"/>
          <w:color w:val="000000"/>
          <w:vertAlign w:val="subscript"/>
          <w:lang w:eastAsia="zh-CN"/>
        </w:rPr>
        <w:t>2</w:t>
      </w:r>
      <w:r w:rsidR="00A36531">
        <w:rPr>
          <w:color w:val="000000"/>
        </w:rPr>
        <w:t>HPO</w:t>
      </w:r>
      <w:r w:rsidR="00A36531" w:rsidRPr="00A36531">
        <w:rPr>
          <w:rFonts w:eastAsia="宋体" w:hint="eastAsia"/>
          <w:color w:val="000000"/>
          <w:vertAlign w:val="subscript"/>
          <w:lang w:eastAsia="zh-CN"/>
        </w:rPr>
        <w:t>4</w:t>
      </w:r>
      <w:r w:rsidR="00A36531">
        <w:rPr>
          <w:color w:val="000000"/>
        </w:rPr>
        <w:t>/NH</w:t>
      </w:r>
      <w:r w:rsidR="00A36531" w:rsidRPr="00A36531">
        <w:rPr>
          <w:rFonts w:eastAsia="宋体" w:hint="eastAsia"/>
          <w:color w:val="000000"/>
          <w:vertAlign w:val="subscript"/>
          <w:lang w:eastAsia="zh-CN"/>
        </w:rPr>
        <w:t>3</w:t>
      </w:r>
      <w:r w:rsidR="00A36531">
        <w:rPr>
          <w:color w:val="000000"/>
        </w:rPr>
        <w:sym w:font="Wingdings" w:char="F09E"/>
      </w:r>
      <w:r w:rsidR="00A36531">
        <w:rPr>
          <w:color w:val="000000"/>
        </w:rPr>
        <w:t>H</w:t>
      </w:r>
      <w:r w:rsidR="00A36531" w:rsidRPr="00A36531">
        <w:rPr>
          <w:rFonts w:eastAsia="宋体" w:hint="eastAsia"/>
          <w:color w:val="000000"/>
          <w:vertAlign w:val="subscript"/>
          <w:lang w:eastAsia="zh-CN"/>
        </w:rPr>
        <w:t>2</w:t>
      </w:r>
      <w:r w:rsidR="00A36531">
        <w:rPr>
          <w:color w:val="000000"/>
        </w:rPr>
        <w:t>O</w:t>
      </w:r>
      <w:r>
        <w:rPr>
          <w:color w:val="000000"/>
        </w:rPr>
        <w:t xml:space="preserve"> system provides the most favorable chemical environment for PG-to-HAP conversion among the three systems examined. The ammonium-containing medium may facilitate the disruption or dissolution of the PG matrix and improve the availability of calcium for phosphate precipitation. </w:t>
      </w:r>
    </w:p>
    <w:p w14:paraId="3EF25250"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3.3. Effects of pH, temperature, and time on HAP formation and morphology</w:t>
      </w:r>
    </w:p>
    <w:p w14:paraId="714CA0F9" w14:textId="77777777" w:rsidR="002829D1" w:rsidRDefault="00000000">
      <w:pPr>
        <w:ind w:firstLine="420"/>
        <w:jc w:val="both"/>
      </w:pPr>
      <w:r>
        <w:rPr>
          <w:color w:val="000000"/>
        </w:rPr>
        <w:t>Increasing the initial pH from 9 to 11 promoted PG conversion and HAP crystal development. At pH 9, the product exhibited less developed morphology and more evident sulfate-related signals, indicating incomplete transformation. At pH 10 and 11, the HAP-associated diffraction and phosphate-vibration features became clearer, while residual sulfur decreased. The pH 11 product showed the most distinct HAP phase and rod-like morphology. Stronger alkalinity therefore favored the release of calcium from PG, the formation of reactive phosphate species, and the nucleation and growth of HAP.</w:t>
      </w:r>
    </w:p>
    <w:p w14:paraId="23C86F76" w14:textId="54EBA433" w:rsidR="002829D1" w:rsidRDefault="00000000">
      <w:pPr>
        <w:ind w:firstLine="420"/>
        <w:jc w:val="both"/>
      </w:pPr>
      <w:r>
        <w:rPr>
          <w:color w:val="000000"/>
        </w:rPr>
        <w:t>Hydrothermal temperature regulated both phase development and crystal morphology. HAP could be formed within the investigated range of 120</w:t>
      </w:r>
      <w:r w:rsidR="005B4F6D">
        <w:rPr>
          <w:rFonts w:eastAsia="宋体" w:hint="eastAsia"/>
          <w:color w:val="000000"/>
          <w:lang w:eastAsia="zh-CN"/>
        </w:rPr>
        <w:t xml:space="preserve"> to </w:t>
      </w:r>
      <w:r>
        <w:rPr>
          <w:color w:val="000000"/>
        </w:rPr>
        <w:t>200 °C, but lower temperatures produced less developed crystals. Increasing the temperature improved structural ordering and promoted the development of clearer rod-like particles. Around 160 °C, the product displayed a favorable balance between HAP formation and morphology. Further increases to 180</w:t>
      </w:r>
      <w:r w:rsidR="005B4F6D">
        <w:rPr>
          <w:rFonts w:eastAsia="宋体" w:hint="eastAsia"/>
          <w:color w:val="000000"/>
          <w:lang w:eastAsia="zh-CN"/>
        </w:rPr>
        <w:t>-</w:t>
      </w:r>
      <w:r>
        <w:rPr>
          <w:color w:val="000000"/>
        </w:rPr>
        <w:t xml:space="preserve">200 °C could enhance crystallinity but also intensified crystal growth or aggregation and increased energy consumption. </w:t>
      </w:r>
    </w:p>
    <w:p w14:paraId="5B68D736" w14:textId="77777777" w:rsidR="002829D1" w:rsidRDefault="00000000">
      <w:pPr>
        <w:ind w:firstLine="420"/>
        <w:jc w:val="both"/>
      </w:pPr>
      <w:r>
        <w:rPr>
          <w:color w:val="000000"/>
        </w:rPr>
        <w:t>Reaction time controlled the progression from initial nucleation to crystal growth and maturation. HAP features were already detectable at shorter times, but extending the reaction promoted clearer phase development and more ordered morphology. After approximately 36 h, the principal HAP structural characteristics were well established, and further extension produced a smaller incremental improvement relative to the additional hydrothermal time. The combined results therefore suggest that sufficiently strong alkalinity, an intermediate-to-high temperature, and an appropriate residence time are required to achieve efficient conversion without unnecessary process severity.</w:t>
      </w:r>
    </w:p>
    <w:p w14:paraId="572B21F8"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lastRenderedPageBreak/>
        <w:t>3.4. Structural evolution and possible conversion mechanism</w:t>
      </w:r>
    </w:p>
    <w:p w14:paraId="2CC30654" w14:textId="3098DDF8" w:rsidR="002829D1" w:rsidRDefault="00000000">
      <w:pPr>
        <w:ind w:firstLine="420"/>
        <w:jc w:val="both"/>
      </w:pPr>
      <w:r>
        <w:rPr>
          <w:color w:val="000000"/>
        </w:rPr>
        <w:t>The transformation from PG to HAP was supported by complementary structural and compositional evidence. XRD showed the development of an HAP-dominated phase assemblage together with the attenuation of sulfate-related phases under favorable synthesis conditions. FTIR and Raman spectra showed the emergence and strengthening of characteristic PO</w:t>
      </w:r>
      <w:r w:rsidR="005B4F6D" w:rsidRPr="005B4F6D">
        <w:rPr>
          <w:rFonts w:eastAsia="宋体" w:hint="eastAsia"/>
          <w:color w:val="000000"/>
          <w:vertAlign w:val="subscript"/>
          <w:lang w:eastAsia="zh-CN"/>
        </w:rPr>
        <w:t>4</w:t>
      </w:r>
      <w:r w:rsidR="005B4F6D" w:rsidRPr="005B4F6D">
        <w:rPr>
          <w:rFonts w:eastAsia="宋体" w:hint="eastAsia"/>
          <w:color w:val="000000"/>
          <w:vertAlign w:val="superscript"/>
          <w:lang w:eastAsia="zh-CN"/>
        </w:rPr>
        <w:t>3-</w:t>
      </w:r>
      <w:r>
        <w:rPr>
          <w:color w:val="000000"/>
        </w:rPr>
        <w:t xml:space="preserve"> and OH</w:t>
      </w:r>
      <w:r w:rsidR="005B4F6D" w:rsidRPr="005B4F6D">
        <w:rPr>
          <w:rFonts w:eastAsia="宋体" w:hint="eastAsia"/>
          <w:color w:val="000000"/>
          <w:vertAlign w:val="superscript"/>
          <w:lang w:eastAsia="zh-CN"/>
        </w:rPr>
        <w:t>-</w:t>
      </w:r>
      <w:r>
        <w:rPr>
          <w:color w:val="000000"/>
        </w:rPr>
        <w:t xml:space="preserve"> vibrations, while residual SO</w:t>
      </w:r>
      <w:r w:rsidR="005B4F6D" w:rsidRPr="005B4F6D">
        <w:rPr>
          <w:rFonts w:eastAsia="宋体" w:hint="eastAsia"/>
          <w:color w:val="000000"/>
          <w:vertAlign w:val="subscript"/>
          <w:lang w:eastAsia="zh-CN"/>
        </w:rPr>
        <w:t>4</w:t>
      </w:r>
      <w:r w:rsidR="005B4F6D" w:rsidRPr="005B4F6D">
        <w:rPr>
          <w:rFonts w:eastAsia="宋体" w:hint="eastAsia"/>
          <w:color w:val="000000"/>
          <w:vertAlign w:val="superscript"/>
          <w:lang w:eastAsia="zh-CN"/>
        </w:rPr>
        <w:t>2-</w:t>
      </w:r>
      <w:r>
        <w:rPr>
          <w:color w:val="000000"/>
        </w:rPr>
        <w:t xml:space="preserve"> bands were more evident in incompletely converted samples. EDS and elemental mapping revealed a transition from the Ca–S-rich PG precursor toward a Ca–P–O-rich product. SEM simultaneously showed the development of HAP crystal habits as the reaction conditions became more favorable.</w:t>
      </w:r>
    </w:p>
    <w:p w14:paraId="50D6992F" w14:textId="1F335350" w:rsidR="002829D1" w:rsidRDefault="00000000">
      <w:pPr>
        <w:ind w:firstLine="420"/>
        <w:jc w:val="both"/>
      </w:pPr>
      <w:r>
        <w:rPr>
          <w:color w:val="000000"/>
        </w:rPr>
        <w:t>On the basis of these observations, PG-to-HAP conversion may proceed through an alkaline hydrothermal dissolution–precipitation pathway. The sulfate-rich PG matrix is initially disrupted or partially dissolved, releasing calcium-containing species into the reaction medium. These species subsequently react with phosphate and hydroxide, leading to HAP nucleation, anisotropic crystal growth, and hydrothermal maturation. The persistence of sulfate in less favorable samples suggests that precursor identity and alkalinity influence the degree of PG decomposition and calcium utilization. This pathway is consistent with the current characterization, although the exact intermediate species and the molecular-scale role of NH</w:t>
      </w:r>
      <w:r w:rsidR="005B4F6D" w:rsidRPr="005B4F6D">
        <w:rPr>
          <w:rFonts w:eastAsia="宋体" w:hint="eastAsia"/>
          <w:color w:val="000000"/>
          <w:vertAlign w:val="subscript"/>
          <w:lang w:eastAsia="zh-CN"/>
        </w:rPr>
        <w:t>4</w:t>
      </w:r>
      <w:r w:rsidR="005B4F6D" w:rsidRPr="005B4F6D">
        <w:rPr>
          <w:rFonts w:eastAsia="宋体" w:hint="eastAsia"/>
          <w:color w:val="000000"/>
          <w:vertAlign w:val="superscript"/>
          <w:lang w:eastAsia="zh-CN"/>
        </w:rPr>
        <w:t>+</w:t>
      </w:r>
      <w:r>
        <w:rPr>
          <w:color w:val="000000"/>
        </w:rPr>
        <w:t xml:space="preserve"> require further verification.</w:t>
      </w:r>
    </w:p>
    <w:p w14:paraId="7B84CD62"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3.5. Process optimization and representative HAP selection</w:t>
      </w:r>
    </w:p>
    <w:p w14:paraId="30C8279B" w14:textId="5181D74C" w:rsidR="002829D1" w:rsidRDefault="00000000">
      <w:pPr>
        <w:ind w:firstLine="420"/>
        <w:jc w:val="both"/>
      </w:pPr>
      <w:r>
        <w:rPr>
          <w:color w:val="000000"/>
        </w:rPr>
        <w:t>The synthesis condition was selected primarily from the degree of PG conversion, HAP phase development, crystal morphology, and hydrothermal severity. The (NH</w:t>
      </w:r>
      <w:r w:rsidR="005B4F6D" w:rsidRPr="005B4F6D">
        <w:rPr>
          <w:rFonts w:eastAsia="宋体" w:hint="eastAsia"/>
          <w:color w:val="000000"/>
          <w:vertAlign w:val="subscript"/>
          <w:lang w:eastAsia="zh-CN"/>
        </w:rPr>
        <w:t>4</w:t>
      </w:r>
      <w:r>
        <w:rPr>
          <w:color w:val="000000"/>
        </w:rPr>
        <w:t>)</w:t>
      </w:r>
      <w:r w:rsidR="005B4F6D" w:rsidRPr="005B4F6D">
        <w:rPr>
          <w:rFonts w:eastAsia="宋体" w:hint="eastAsia"/>
          <w:color w:val="000000"/>
          <w:vertAlign w:val="subscript"/>
          <w:lang w:eastAsia="zh-CN"/>
        </w:rPr>
        <w:t>2</w:t>
      </w:r>
      <w:r>
        <w:rPr>
          <w:color w:val="000000"/>
        </w:rPr>
        <w:t>HPO</w:t>
      </w:r>
      <w:r w:rsidR="005B4F6D" w:rsidRPr="005B4F6D">
        <w:rPr>
          <w:rFonts w:eastAsia="宋体" w:hint="eastAsia"/>
          <w:color w:val="000000"/>
          <w:vertAlign w:val="subscript"/>
          <w:lang w:eastAsia="zh-CN"/>
        </w:rPr>
        <w:t>4</w:t>
      </w:r>
      <w:r>
        <w:rPr>
          <w:color w:val="000000"/>
        </w:rPr>
        <w:t>/NH</w:t>
      </w:r>
      <w:r w:rsidR="005B4F6D" w:rsidRPr="005B4F6D">
        <w:rPr>
          <w:rFonts w:eastAsia="宋体" w:hint="eastAsia"/>
          <w:color w:val="000000"/>
          <w:vertAlign w:val="subscript"/>
          <w:lang w:eastAsia="zh-CN"/>
        </w:rPr>
        <w:t>3</w:t>
      </w:r>
      <w:r w:rsidR="005B4F6D">
        <w:rPr>
          <w:color w:val="000000"/>
        </w:rPr>
        <w:sym w:font="Wingdings" w:char="F09E"/>
      </w:r>
      <w:r>
        <w:rPr>
          <w:color w:val="000000"/>
        </w:rPr>
        <w:t>H</w:t>
      </w:r>
      <w:r w:rsidR="005B4F6D" w:rsidRPr="005B4F6D">
        <w:rPr>
          <w:rFonts w:eastAsia="宋体" w:hint="eastAsia"/>
          <w:color w:val="000000"/>
          <w:vertAlign w:val="subscript"/>
          <w:lang w:eastAsia="zh-CN"/>
        </w:rPr>
        <w:t>2</w:t>
      </w:r>
      <w:r>
        <w:rPr>
          <w:color w:val="000000"/>
        </w:rPr>
        <w:t xml:space="preserve">O system and pH 11 provided the most favorable conversion results. Although higher temperatures and longer reaction times could further improve crystallinity, they also increased energy and residence-time requirements. Considering the balance among structural quality, morphology, and process economy, pH 11, </w:t>
      </w:r>
      <w:r w:rsidR="00BB2D07">
        <w:rPr>
          <w:rFonts w:eastAsia="宋体" w:hint="eastAsia"/>
          <w:color w:val="000000"/>
          <w:lang w:eastAsia="zh-CN"/>
        </w:rPr>
        <w:t>16</w:t>
      </w:r>
      <w:r>
        <w:rPr>
          <w:color w:val="000000"/>
        </w:rPr>
        <w:t>0 °C, and 36 h were identified as the practical optimum for preparing representative PG-derived HAP.</w:t>
      </w:r>
    </w:p>
    <w:p w14:paraId="7C6AEE3C" w14:textId="77777777" w:rsidR="002829D1" w:rsidRPr="008B32C2" w:rsidRDefault="00000000">
      <w:pPr>
        <w:pStyle w:val="21"/>
        <w:rPr>
          <w:rFonts w:ascii="Times New Roman" w:hAnsi="Times New Roman" w:cs="Times New Roman"/>
          <w:color w:val="000000" w:themeColor="text1"/>
        </w:rPr>
      </w:pPr>
      <w:r w:rsidRPr="008B32C2">
        <w:rPr>
          <w:rFonts w:ascii="Times New Roman" w:hAnsi="Times New Roman" w:cs="Times New Roman"/>
          <w:color w:val="000000" w:themeColor="text1"/>
        </w:rPr>
        <w:t>3.6. Application of PG-derived HAP in simulated flue-gas adsorption</w:t>
      </w:r>
    </w:p>
    <w:p w14:paraId="2D425E45" w14:textId="2D463824" w:rsidR="002829D1" w:rsidRPr="008B32C2" w:rsidRDefault="00000000">
      <w:pPr>
        <w:pStyle w:val="31"/>
        <w:rPr>
          <w:rFonts w:ascii="Times New Roman" w:hAnsi="Times New Roman" w:cs="Times New Roman"/>
          <w:color w:val="000000" w:themeColor="text1"/>
        </w:rPr>
      </w:pPr>
      <w:r w:rsidRPr="008B32C2">
        <w:rPr>
          <w:rFonts w:ascii="Times New Roman" w:hAnsi="Times New Roman" w:cs="Times New Roman"/>
          <w:color w:val="000000" w:themeColor="text1"/>
        </w:rPr>
        <w:t>3.6.1. CO</w:t>
      </w:r>
      <w:r w:rsidR="005B4F6D" w:rsidRPr="008B32C2">
        <w:rPr>
          <w:rFonts w:ascii="Times New Roman" w:eastAsia="宋体" w:hAnsi="Times New Roman" w:cs="Times New Roman"/>
          <w:color w:val="000000" w:themeColor="text1"/>
          <w:vertAlign w:val="subscript"/>
          <w:lang w:eastAsia="zh-CN"/>
        </w:rPr>
        <w:t>2</w:t>
      </w:r>
      <w:r w:rsidRPr="008B32C2">
        <w:rPr>
          <w:rFonts w:ascii="Times New Roman" w:hAnsi="Times New Roman" w:cs="Times New Roman"/>
          <w:color w:val="000000" w:themeColor="text1"/>
        </w:rPr>
        <w:t xml:space="preserve"> and SO</w:t>
      </w:r>
      <w:r w:rsidR="005B4F6D" w:rsidRPr="008B32C2">
        <w:rPr>
          <w:rFonts w:ascii="Times New Roman" w:eastAsia="宋体" w:hAnsi="Times New Roman" w:cs="Times New Roman"/>
          <w:color w:val="000000" w:themeColor="text1"/>
          <w:vertAlign w:val="subscript"/>
          <w:lang w:eastAsia="zh-CN"/>
        </w:rPr>
        <w:t>2</w:t>
      </w:r>
      <w:r w:rsidRPr="008B32C2">
        <w:rPr>
          <w:rFonts w:ascii="Times New Roman" w:hAnsi="Times New Roman" w:cs="Times New Roman"/>
          <w:color w:val="000000" w:themeColor="text1"/>
        </w:rPr>
        <w:t xml:space="preserve"> breakthrough behavior</w:t>
      </w:r>
    </w:p>
    <w:p w14:paraId="66275B40" w14:textId="466E7DE3" w:rsidR="002829D1" w:rsidRDefault="00000000">
      <w:pPr>
        <w:ind w:firstLine="420"/>
        <w:jc w:val="both"/>
      </w:pPr>
      <w:r>
        <w:rPr>
          <w:color w:val="000000"/>
        </w:rPr>
        <w:t>The PG-derived HAP materials showed measurable retention of the acidic components in the simulated flue gas, whereas N</w:t>
      </w:r>
      <w:r w:rsidR="005B4F6D" w:rsidRPr="005B4F6D">
        <w:rPr>
          <w:rFonts w:eastAsia="宋体" w:hint="eastAsia"/>
          <w:color w:val="000000"/>
          <w:vertAlign w:val="subscript"/>
          <w:lang w:eastAsia="zh-CN"/>
        </w:rPr>
        <w:t>2</w:t>
      </w:r>
      <w:r>
        <w:rPr>
          <w:color w:val="000000"/>
        </w:rPr>
        <w:t xml:space="preserve"> and O</w:t>
      </w:r>
      <w:r w:rsidR="005B4F6D" w:rsidRPr="005B4F6D">
        <w:rPr>
          <w:rFonts w:eastAsia="宋体" w:hint="eastAsia"/>
          <w:color w:val="000000"/>
          <w:vertAlign w:val="subscript"/>
          <w:lang w:eastAsia="zh-CN"/>
        </w:rPr>
        <w:t>2</w:t>
      </w:r>
      <w:r>
        <w:rPr>
          <w:color w:val="000000"/>
        </w:rPr>
        <w:t xml:space="preserve"> displayed negligible adsorption under the tested conditions. Among the three phosphate/alkali systems, N-HAP gave the strongest overall response. Its breakthrough capacities were 0.112 mmol g</w:t>
      </w:r>
      <w:r w:rsidR="005B4F6D" w:rsidRPr="005B4F6D">
        <w:rPr>
          <w:rFonts w:eastAsia="宋体" w:hint="eastAsia"/>
          <w:color w:val="000000"/>
          <w:vertAlign w:val="superscript"/>
          <w:lang w:eastAsia="zh-CN"/>
        </w:rPr>
        <w:t>-1</w:t>
      </w:r>
      <w:r>
        <w:rPr>
          <w:color w:val="000000"/>
        </w:rPr>
        <w:t xml:space="preserve"> for CO</w:t>
      </w:r>
      <w:r w:rsidR="005B4F6D" w:rsidRPr="005B4F6D">
        <w:rPr>
          <w:rFonts w:eastAsia="宋体" w:hint="eastAsia"/>
          <w:color w:val="000000"/>
          <w:vertAlign w:val="subscript"/>
          <w:lang w:eastAsia="zh-CN"/>
        </w:rPr>
        <w:t>2</w:t>
      </w:r>
      <w:r>
        <w:rPr>
          <w:color w:val="000000"/>
        </w:rPr>
        <w:t xml:space="preserve"> and 0.069 mmol g</w:t>
      </w:r>
      <w:r w:rsidR="005B4F6D" w:rsidRPr="005B4F6D">
        <w:rPr>
          <w:rFonts w:eastAsia="宋体" w:hint="eastAsia"/>
          <w:color w:val="000000"/>
          <w:vertAlign w:val="superscript"/>
          <w:lang w:eastAsia="zh-CN"/>
        </w:rPr>
        <w:t>-1</w:t>
      </w:r>
      <w:r>
        <w:rPr>
          <w:color w:val="000000"/>
        </w:rPr>
        <w:t xml:space="preserve"> for SO</w:t>
      </w:r>
      <w:r w:rsidR="005B4F6D" w:rsidRPr="005B4F6D">
        <w:rPr>
          <w:rFonts w:eastAsia="宋体" w:hint="eastAsia"/>
          <w:color w:val="000000"/>
          <w:vertAlign w:val="subscript"/>
          <w:lang w:eastAsia="zh-CN"/>
        </w:rPr>
        <w:t>2</w:t>
      </w:r>
      <w:r>
        <w:rPr>
          <w:color w:val="000000"/>
        </w:rPr>
        <w:t>. These results demonstrate that the product obtained from the most favorable PG conversion system also possesses a useful downstream function under multicomponent fixed-bed conditions.</w:t>
      </w:r>
    </w:p>
    <w:p w14:paraId="515959E4" w14:textId="77777777" w:rsidR="002829D1" w:rsidRPr="008B32C2" w:rsidRDefault="00000000">
      <w:pPr>
        <w:pStyle w:val="31"/>
        <w:rPr>
          <w:rFonts w:ascii="Times New Roman" w:hAnsi="Times New Roman" w:cs="Times New Roman"/>
          <w:color w:val="000000" w:themeColor="text1"/>
        </w:rPr>
      </w:pPr>
      <w:r w:rsidRPr="008B32C2">
        <w:rPr>
          <w:rFonts w:ascii="Times New Roman" w:hAnsi="Times New Roman" w:cs="Times New Roman"/>
          <w:color w:val="000000" w:themeColor="text1"/>
        </w:rPr>
        <w:t>3.6.2. Effect of HAP synthesis conditions on adsorption</w:t>
      </w:r>
    </w:p>
    <w:p w14:paraId="347AB21A" w14:textId="5982787D" w:rsidR="002829D1" w:rsidRDefault="00000000" w:rsidP="001C4EE4">
      <w:pPr>
        <w:ind w:firstLine="420"/>
        <w:jc w:val="both"/>
      </w:pPr>
      <w:r>
        <w:rPr>
          <w:color w:val="000000"/>
        </w:rPr>
        <w:t>The adsorption results changed with HAP synthesis conditions but did not follow a single monotonic trend. Increasing the synthesis pH from 9 to 11 increased the breakthrough capacities of both CO</w:t>
      </w:r>
      <w:r w:rsidR="00BB2D07" w:rsidRPr="00BB2D07">
        <w:rPr>
          <w:rFonts w:eastAsia="宋体" w:hint="eastAsia"/>
          <w:color w:val="000000"/>
          <w:vertAlign w:val="subscript"/>
          <w:lang w:eastAsia="zh-CN"/>
        </w:rPr>
        <w:t>2</w:t>
      </w:r>
      <w:r>
        <w:rPr>
          <w:color w:val="000000"/>
        </w:rPr>
        <w:t xml:space="preserve"> and SO</w:t>
      </w:r>
      <w:r w:rsidR="00BB2D07" w:rsidRPr="00BB2D07">
        <w:rPr>
          <w:rFonts w:eastAsia="宋体" w:hint="eastAsia"/>
          <w:color w:val="000000"/>
          <w:vertAlign w:val="subscript"/>
          <w:lang w:eastAsia="zh-CN"/>
        </w:rPr>
        <w:t>2</w:t>
      </w:r>
      <w:r>
        <w:rPr>
          <w:color w:val="000000"/>
        </w:rPr>
        <w:t>, consistent with the improved PG conversion and HAP formation observed at higher pH. In the temperature series, the highest CO</w:t>
      </w:r>
      <w:r w:rsidR="00BB2D07" w:rsidRPr="00BB2D07">
        <w:rPr>
          <w:rFonts w:eastAsia="宋体" w:hint="eastAsia"/>
          <w:color w:val="000000"/>
          <w:vertAlign w:val="subscript"/>
          <w:lang w:eastAsia="zh-CN"/>
        </w:rPr>
        <w:t>2</w:t>
      </w:r>
      <w:r>
        <w:rPr>
          <w:color w:val="000000"/>
        </w:rPr>
        <w:t xml:space="preserve"> breakthrough capacity was 0.130 mmol g</w:t>
      </w:r>
      <w:r w:rsidR="00BB2D07" w:rsidRPr="00BB2D07">
        <w:rPr>
          <w:rFonts w:eastAsia="宋体" w:hint="eastAsia"/>
          <w:color w:val="000000"/>
          <w:vertAlign w:val="superscript"/>
          <w:lang w:eastAsia="zh-CN"/>
        </w:rPr>
        <w:t>-1</w:t>
      </w:r>
      <w:r>
        <w:rPr>
          <w:color w:val="000000"/>
        </w:rPr>
        <w:t xml:space="preserve"> for the sample synthesized at 160 °C, whereas the highest SO</w:t>
      </w:r>
      <w:r w:rsidR="00BB2D07" w:rsidRPr="00BB2D07">
        <w:rPr>
          <w:rFonts w:eastAsia="宋体" w:hint="eastAsia"/>
          <w:color w:val="000000"/>
          <w:vertAlign w:val="subscript"/>
          <w:lang w:eastAsia="zh-CN"/>
        </w:rPr>
        <w:t>2</w:t>
      </w:r>
      <w:r>
        <w:rPr>
          <w:color w:val="000000"/>
        </w:rPr>
        <w:t xml:space="preserve"> value was 0.119 mmol g</w:t>
      </w:r>
      <w:r w:rsidR="00BB2D07" w:rsidRPr="00BB2D07">
        <w:rPr>
          <w:rFonts w:eastAsia="宋体" w:hint="eastAsia"/>
          <w:color w:val="000000"/>
          <w:vertAlign w:val="superscript"/>
          <w:lang w:eastAsia="zh-CN"/>
        </w:rPr>
        <w:t>-1</w:t>
      </w:r>
      <w:r>
        <w:rPr>
          <w:color w:val="000000"/>
        </w:rPr>
        <w:t xml:space="preserve"> for the sample </w:t>
      </w:r>
      <w:r>
        <w:rPr>
          <w:color w:val="000000"/>
        </w:rPr>
        <w:lastRenderedPageBreak/>
        <w:t>synthesized at 120 °C. In the time series, the maximum CO</w:t>
      </w:r>
      <w:r w:rsidR="001C4EE4" w:rsidRPr="001C4EE4">
        <w:rPr>
          <w:rFonts w:eastAsia="宋体" w:hint="eastAsia"/>
          <w:color w:val="000000"/>
          <w:vertAlign w:val="subscript"/>
          <w:lang w:eastAsia="zh-CN"/>
        </w:rPr>
        <w:t>2</w:t>
      </w:r>
      <w:r>
        <w:rPr>
          <w:color w:val="000000"/>
        </w:rPr>
        <w:t xml:space="preserve"> breakthrough capacity was 0.112 mmol g</w:t>
      </w:r>
      <w:r w:rsidR="00BB2D07" w:rsidRPr="001C4EE4">
        <w:rPr>
          <w:rFonts w:eastAsia="宋体" w:hint="eastAsia"/>
          <w:color w:val="000000"/>
          <w:vertAlign w:val="superscript"/>
          <w:lang w:eastAsia="zh-CN"/>
        </w:rPr>
        <w:t>-1</w:t>
      </w:r>
      <w:r>
        <w:rPr>
          <w:color w:val="000000"/>
        </w:rPr>
        <w:t xml:space="preserve"> at 24 h, while SO</w:t>
      </w:r>
      <w:r w:rsidR="00BB2D07" w:rsidRPr="001C4EE4">
        <w:rPr>
          <w:rFonts w:eastAsia="宋体" w:hint="eastAsia"/>
          <w:color w:val="000000"/>
          <w:vertAlign w:val="subscript"/>
          <w:lang w:eastAsia="zh-CN"/>
        </w:rPr>
        <w:t>2</w:t>
      </w:r>
      <w:r>
        <w:rPr>
          <w:color w:val="000000"/>
        </w:rPr>
        <w:t xml:space="preserve"> reached 0.088 mmol g</w:t>
      </w:r>
      <w:r w:rsidR="00BB2D07" w:rsidRPr="001C4EE4">
        <w:rPr>
          <w:rFonts w:eastAsia="宋体" w:hint="eastAsia"/>
          <w:color w:val="000000"/>
          <w:vertAlign w:val="superscript"/>
          <w:lang w:eastAsia="zh-CN"/>
        </w:rPr>
        <w:t>-1</w:t>
      </w:r>
      <w:r>
        <w:rPr>
          <w:color w:val="000000"/>
        </w:rPr>
        <w:t xml:space="preserve"> at 48 h.</w:t>
      </w:r>
      <w:r w:rsidR="001C4EE4">
        <w:rPr>
          <w:rFonts w:eastAsia="宋体" w:hint="eastAsia"/>
          <w:lang w:eastAsia="zh-CN"/>
        </w:rPr>
        <w:t xml:space="preserve"> </w:t>
      </w:r>
      <w:r>
        <w:rPr>
          <w:color w:val="000000"/>
        </w:rPr>
        <w:t>The different optima indicate that CO</w:t>
      </w:r>
      <w:r w:rsidR="001C4EE4" w:rsidRPr="001C4EE4">
        <w:rPr>
          <w:rFonts w:eastAsia="宋体" w:hint="eastAsia"/>
          <w:color w:val="000000"/>
          <w:vertAlign w:val="subscript"/>
          <w:lang w:eastAsia="zh-CN"/>
        </w:rPr>
        <w:t>2</w:t>
      </w:r>
      <w:r>
        <w:rPr>
          <w:color w:val="000000"/>
        </w:rPr>
        <w:t xml:space="preserve"> and SO</w:t>
      </w:r>
      <w:r w:rsidR="001C4EE4" w:rsidRPr="001C4EE4">
        <w:rPr>
          <w:rFonts w:eastAsia="宋体" w:hint="eastAsia"/>
          <w:color w:val="000000"/>
          <w:vertAlign w:val="subscript"/>
          <w:lang w:eastAsia="zh-CN"/>
        </w:rPr>
        <w:t>2</w:t>
      </w:r>
      <w:r>
        <w:rPr>
          <w:color w:val="000000"/>
        </w:rPr>
        <w:t xml:space="preserve"> respond differently to changes in HAP crystal development, aggregation, and surface chemical environment. </w:t>
      </w:r>
    </w:p>
    <w:p w14:paraId="1B9EBF20" w14:textId="7F991399" w:rsidR="002829D1" w:rsidRPr="008B32C2" w:rsidRDefault="00000000">
      <w:pPr>
        <w:pStyle w:val="31"/>
        <w:rPr>
          <w:rFonts w:ascii="Times New Roman" w:hAnsi="Times New Roman" w:cs="Times New Roman"/>
          <w:color w:val="000000" w:themeColor="text1"/>
        </w:rPr>
      </w:pPr>
      <w:r w:rsidRPr="008B32C2">
        <w:rPr>
          <w:rFonts w:ascii="Times New Roman" w:hAnsi="Times New Roman" w:cs="Times New Roman"/>
          <w:color w:val="000000" w:themeColor="text1"/>
        </w:rPr>
        <w:t>3.6.3. CO</w:t>
      </w:r>
      <w:r w:rsidR="001C4EE4" w:rsidRPr="008B32C2">
        <w:rPr>
          <w:rFonts w:ascii="Times New Roman" w:eastAsia="宋体" w:hAnsi="Times New Roman" w:cs="Times New Roman"/>
          <w:color w:val="000000" w:themeColor="text1"/>
          <w:vertAlign w:val="subscript"/>
          <w:lang w:eastAsia="zh-CN"/>
        </w:rPr>
        <w:t>2</w:t>
      </w:r>
      <w:r w:rsidRPr="008B32C2">
        <w:rPr>
          <w:rFonts w:ascii="Times New Roman" w:hAnsi="Times New Roman" w:cs="Times New Roman"/>
          <w:color w:val="000000" w:themeColor="text1"/>
        </w:rPr>
        <w:t>/SO</w:t>
      </w:r>
      <w:r w:rsidR="001C4EE4" w:rsidRPr="008B32C2">
        <w:rPr>
          <w:rFonts w:ascii="Times New Roman" w:eastAsia="宋体" w:hAnsi="Times New Roman" w:cs="Times New Roman"/>
          <w:color w:val="000000" w:themeColor="text1"/>
          <w:vertAlign w:val="subscript"/>
          <w:lang w:eastAsia="zh-CN"/>
        </w:rPr>
        <w:t>2</w:t>
      </w:r>
      <w:r w:rsidRPr="008B32C2">
        <w:rPr>
          <w:rFonts w:ascii="Times New Roman" w:hAnsi="Times New Roman" w:cs="Times New Roman"/>
          <w:color w:val="000000" w:themeColor="text1"/>
        </w:rPr>
        <w:t xml:space="preserve"> competitive-response discussion</w:t>
      </w:r>
    </w:p>
    <w:p w14:paraId="3416FDC1" w14:textId="1C3BEDF1" w:rsidR="002829D1" w:rsidRDefault="00000000">
      <w:pPr>
        <w:ind w:firstLine="420"/>
        <w:jc w:val="both"/>
      </w:pPr>
      <w:r>
        <w:rPr>
          <w:color w:val="000000"/>
        </w:rPr>
        <w:t>The co-feed breakthrough data show that CO</w:t>
      </w:r>
      <w:r w:rsidR="0002298D" w:rsidRPr="0002298D">
        <w:rPr>
          <w:rFonts w:eastAsia="宋体" w:hint="eastAsia"/>
          <w:color w:val="000000"/>
          <w:vertAlign w:val="subscript"/>
          <w:lang w:eastAsia="zh-CN"/>
        </w:rPr>
        <w:t>2</w:t>
      </w:r>
      <w:r>
        <w:rPr>
          <w:color w:val="000000"/>
        </w:rPr>
        <w:t xml:space="preserve"> and SO</w:t>
      </w:r>
      <w:r w:rsidR="0002298D" w:rsidRPr="0002298D">
        <w:rPr>
          <w:rFonts w:eastAsia="宋体" w:hint="eastAsia"/>
          <w:color w:val="000000"/>
          <w:vertAlign w:val="subscript"/>
          <w:lang w:eastAsia="zh-CN"/>
        </w:rPr>
        <w:t>2</w:t>
      </w:r>
      <w:r>
        <w:rPr>
          <w:color w:val="000000"/>
        </w:rPr>
        <w:t xml:space="preserve"> do not respond identically to synthesis-induced structural changes. Both gases benefited from increasing pH, but their optimum synthesis temperatures and reaction times were different. This behavior is consistent with gas-specific interactions with a heterogeneous population of Ca</w:t>
      </w:r>
      <w:r w:rsidR="0002298D">
        <w:rPr>
          <w:rFonts w:eastAsia="宋体" w:hint="eastAsia"/>
          <w:color w:val="000000"/>
          <w:lang w:eastAsia="zh-CN"/>
        </w:rPr>
        <w:t>-</w:t>
      </w:r>
      <w:r>
        <w:rPr>
          <w:color w:val="000000"/>
        </w:rPr>
        <w:t>, phosphate-, and hydroxyl-associated surface environments. Because SO</w:t>
      </w:r>
      <w:r w:rsidR="0002298D" w:rsidRPr="0002298D">
        <w:rPr>
          <w:rFonts w:eastAsia="宋体" w:hint="eastAsia"/>
          <w:color w:val="000000"/>
          <w:vertAlign w:val="subscript"/>
          <w:lang w:eastAsia="zh-CN"/>
        </w:rPr>
        <w:t>2</w:t>
      </w:r>
      <w:r>
        <w:rPr>
          <w:color w:val="000000"/>
        </w:rPr>
        <w:t xml:space="preserve"> is more acidic than CO</w:t>
      </w:r>
      <w:r w:rsidR="0002298D" w:rsidRPr="0002298D">
        <w:rPr>
          <w:rFonts w:eastAsia="宋体" w:hint="eastAsia"/>
          <w:color w:val="000000"/>
          <w:vertAlign w:val="subscript"/>
          <w:lang w:eastAsia="zh-CN"/>
        </w:rPr>
        <w:t>2</w:t>
      </w:r>
      <w:r>
        <w:rPr>
          <w:color w:val="000000"/>
        </w:rPr>
        <w:t>, it may interact more strongly with selected polar or basic sites and may influence the sites available for CO</w:t>
      </w:r>
      <w:r w:rsidR="0002298D" w:rsidRPr="0002298D">
        <w:rPr>
          <w:rFonts w:eastAsia="宋体" w:hint="eastAsia"/>
          <w:color w:val="000000"/>
          <w:vertAlign w:val="subscript"/>
          <w:lang w:eastAsia="zh-CN"/>
        </w:rPr>
        <w:t>2</w:t>
      </w:r>
      <w:r>
        <w:rPr>
          <w:color w:val="000000"/>
        </w:rPr>
        <w:t xml:space="preserve"> under multicomponent conditions.</w:t>
      </w:r>
    </w:p>
    <w:p w14:paraId="4B105F3D" w14:textId="77777777" w:rsidR="002829D1" w:rsidRPr="008B32C2" w:rsidRDefault="00000000">
      <w:pPr>
        <w:pStyle w:val="1"/>
        <w:rPr>
          <w:rFonts w:ascii="Times New Roman" w:hAnsi="Times New Roman" w:cs="Times New Roman"/>
          <w:color w:val="000000" w:themeColor="text1"/>
        </w:rPr>
      </w:pPr>
      <w:r w:rsidRPr="008B32C2">
        <w:rPr>
          <w:rFonts w:ascii="Times New Roman" w:hAnsi="Times New Roman" w:cs="Times New Roman"/>
          <w:color w:val="000000" w:themeColor="text1"/>
        </w:rPr>
        <w:t>4. Conclusions</w:t>
      </w:r>
    </w:p>
    <w:p w14:paraId="4E228D70" w14:textId="42EE554F" w:rsidR="002829D1" w:rsidRDefault="00000000">
      <w:pPr>
        <w:ind w:firstLine="420"/>
        <w:jc w:val="both"/>
      </w:pPr>
      <w:r>
        <w:rPr>
          <w:color w:val="000000"/>
        </w:rPr>
        <w:t>Phosphogypsum was successfully used as a calcium-rich precursor for the hydrothermal synthesis of HAP. The phosphate/alkali source, initial pH, hydrothermal temperature, and reaction time jointly regulated the degree of PG conversion, phase development, and crystal morphology. The (NH</w:t>
      </w:r>
      <w:r w:rsidR="0002298D" w:rsidRPr="0002298D">
        <w:rPr>
          <w:rFonts w:eastAsia="宋体" w:hint="eastAsia"/>
          <w:color w:val="000000"/>
          <w:vertAlign w:val="subscript"/>
          <w:lang w:eastAsia="zh-CN"/>
        </w:rPr>
        <w:t>4</w:t>
      </w:r>
      <w:r>
        <w:rPr>
          <w:color w:val="000000"/>
        </w:rPr>
        <w:t>)</w:t>
      </w:r>
      <w:r w:rsidR="0002298D" w:rsidRPr="0002298D">
        <w:rPr>
          <w:rFonts w:eastAsia="宋体" w:hint="eastAsia"/>
          <w:color w:val="000000"/>
          <w:vertAlign w:val="subscript"/>
          <w:lang w:eastAsia="zh-CN"/>
        </w:rPr>
        <w:t>2</w:t>
      </w:r>
      <w:r>
        <w:rPr>
          <w:color w:val="000000"/>
        </w:rPr>
        <w:t>HPO</w:t>
      </w:r>
      <w:r w:rsidR="0002298D" w:rsidRPr="0002298D">
        <w:rPr>
          <w:rFonts w:eastAsia="宋体" w:hint="eastAsia"/>
          <w:color w:val="000000"/>
          <w:vertAlign w:val="subscript"/>
          <w:lang w:eastAsia="zh-CN"/>
        </w:rPr>
        <w:t>4</w:t>
      </w:r>
      <w:r>
        <w:rPr>
          <w:color w:val="000000"/>
        </w:rPr>
        <w:t>/NH</w:t>
      </w:r>
      <w:r w:rsidR="0002298D" w:rsidRPr="0002298D">
        <w:rPr>
          <w:rFonts w:eastAsia="宋体" w:hint="eastAsia"/>
          <w:color w:val="000000"/>
          <w:vertAlign w:val="subscript"/>
          <w:lang w:eastAsia="zh-CN"/>
        </w:rPr>
        <w:t>3</w:t>
      </w:r>
      <w:r w:rsidR="0002298D">
        <w:rPr>
          <w:rFonts w:eastAsia="宋体" w:hint="eastAsia"/>
          <w:color w:val="000000"/>
          <w:lang w:eastAsia="zh-CN"/>
        </w:rPr>
        <w:sym w:font="Wingdings" w:char="F09E"/>
      </w:r>
      <w:r>
        <w:rPr>
          <w:color w:val="000000"/>
        </w:rPr>
        <w:t>H</w:t>
      </w:r>
      <w:r w:rsidR="0002298D" w:rsidRPr="0002298D">
        <w:rPr>
          <w:rFonts w:eastAsia="宋体" w:hint="eastAsia"/>
          <w:color w:val="000000"/>
          <w:vertAlign w:val="subscript"/>
          <w:lang w:eastAsia="zh-CN"/>
        </w:rPr>
        <w:t>2</w:t>
      </w:r>
      <w:r>
        <w:rPr>
          <w:color w:val="000000"/>
        </w:rPr>
        <w:t>O system promoted more complete conversion than the sodium- and potassium-based systems, while pH 11 favored HAP formation and reduced residual sulfate-related signals. The combined XRD, FTIR, Raman, EDS, mapping, and SEM results were consistent with an alkaline hydrothermal dissolution–precipitation pathway.</w:t>
      </w:r>
    </w:p>
    <w:p w14:paraId="38B246F4" w14:textId="3A79CF57" w:rsidR="002829D1" w:rsidRPr="0002298D" w:rsidRDefault="00000000" w:rsidP="0002298D">
      <w:pPr>
        <w:ind w:firstLine="420"/>
        <w:jc w:val="both"/>
        <w:rPr>
          <w:rFonts w:eastAsia="宋体" w:hint="eastAsia"/>
          <w:lang w:eastAsia="zh-CN"/>
        </w:rPr>
      </w:pPr>
      <w:r>
        <w:rPr>
          <w:color w:val="000000"/>
        </w:rPr>
        <w:t>Considering conversion quality, morphology, reaction severity, and energy demand, pH 11, 160 °C, and 36 h were selected as the practical synthesis condition. The resulting PG-derived HAP showed measurable CO</w:t>
      </w:r>
      <w:r w:rsidR="0002298D" w:rsidRPr="0002298D">
        <w:rPr>
          <w:rFonts w:eastAsia="宋体" w:hint="eastAsia"/>
          <w:color w:val="000000"/>
          <w:vertAlign w:val="subscript"/>
          <w:lang w:eastAsia="zh-CN"/>
        </w:rPr>
        <w:t>2</w:t>
      </w:r>
      <w:r>
        <w:rPr>
          <w:color w:val="000000"/>
        </w:rPr>
        <w:t xml:space="preserve"> and SO</w:t>
      </w:r>
      <w:r w:rsidR="0002298D" w:rsidRPr="0002298D">
        <w:rPr>
          <w:rFonts w:eastAsia="宋体" w:hint="eastAsia"/>
          <w:color w:val="000000"/>
          <w:vertAlign w:val="subscript"/>
          <w:lang w:eastAsia="zh-CN"/>
        </w:rPr>
        <w:t>2</w:t>
      </w:r>
      <w:r>
        <w:rPr>
          <w:color w:val="000000"/>
        </w:rPr>
        <w:t xml:space="preserve"> adsorption under simulated-flue-gas conditions, confirming its potential as a functional environmental material. The different adsorption optima of CO</w:t>
      </w:r>
      <w:r w:rsidR="0002298D" w:rsidRPr="0002298D">
        <w:rPr>
          <w:rFonts w:eastAsia="宋体" w:hint="eastAsia"/>
          <w:color w:val="000000"/>
          <w:vertAlign w:val="subscript"/>
          <w:lang w:eastAsia="zh-CN"/>
        </w:rPr>
        <w:t>2</w:t>
      </w:r>
      <w:r>
        <w:rPr>
          <w:color w:val="000000"/>
        </w:rPr>
        <w:t xml:space="preserve"> and SO</w:t>
      </w:r>
      <w:r w:rsidR="0002298D" w:rsidRPr="0002298D">
        <w:rPr>
          <w:rFonts w:eastAsia="宋体" w:hint="eastAsia"/>
          <w:color w:val="000000"/>
          <w:vertAlign w:val="subscript"/>
          <w:lang w:eastAsia="zh-CN"/>
        </w:rPr>
        <w:t>2</w:t>
      </w:r>
      <w:r>
        <w:rPr>
          <w:color w:val="000000"/>
        </w:rPr>
        <w:t xml:space="preserve"> suggest gas-specific and potentially competitive surface interactions, but further single-gas control experiments and surface characterization are needed for mechanistic confirmation. Overall, the study provides a feasible route for upgrading PG into HAP, while the adsorption results serve as a concise demonstration of downstream application potential.</w:t>
      </w:r>
    </w:p>
    <w:sectPr w:rsidR="002829D1" w:rsidRPr="0002298D"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AC1FF" w14:textId="77777777" w:rsidR="00B7726E" w:rsidRDefault="00B7726E">
      <w:pPr>
        <w:spacing w:after="0" w:line="240" w:lineRule="auto"/>
      </w:pPr>
      <w:r>
        <w:separator/>
      </w:r>
    </w:p>
  </w:endnote>
  <w:endnote w:type="continuationSeparator" w:id="0">
    <w:p w14:paraId="5C070C57" w14:textId="77777777" w:rsidR="00B7726E" w:rsidRDefault="00B77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4800" w14:textId="77777777" w:rsidR="00936630" w:rsidRDefault="0093663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22CB" w14:textId="32F2ECCF" w:rsidR="002829D1" w:rsidRDefault="002829D1">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D6B8" w14:textId="77777777" w:rsidR="00936630" w:rsidRDefault="0093663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58B4E" w14:textId="77777777" w:rsidR="00B7726E" w:rsidRDefault="00B7726E">
      <w:pPr>
        <w:spacing w:after="0" w:line="240" w:lineRule="auto"/>
      </w:pPr>
      <w:r>
        <w:separator/>
      </w:r>
    </w:p>
  </w:footnote>
  <w:footnote w:type="continuationSeparator" w:id="0">
    <w:p w14:paraId="140C07B8" w14:textId="77777777" w:rsidR="00B7726E" w:rsidRDefault="00B77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04DB" w14:textId="77777777" w:rsidR="00936630" w:rsidRDefault="0093663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01A6" w14:textId="058E5634" w:rsidR="002829D1" w:rsidRDefault="002829D1">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2AA8" w14:textId="77777777" w:rsidR="00936630" w:rsidRDefault="0093663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215723">
    <w:abstractNumId w:val="8"/>
  </w:num>
  <w:num w:numId="2" w16cid:durableId="534587294">
    <w:abstractNumId w:val="6"/>
  </w:num>
  <w:num w:numId="3" w16cid:durableId="1304890654">
    <w:abstractNumId w:val="5"/>
  </w:num>
  <w:num w:numId="4" w16cid:durableId="2054037612">
    <w:abstractNumId w:val="4"/>
  </w:num>
  <w:num w:numId="5" w16cid:durableId="212423492">
    <w:abstractNumId w:val="7"/>
  </w:num>
  <w:num w:numId="6" w16cid:durableId="101809056">
    <w:abstractNumId w:val="3"/>
  </w:num>
  <w:num w:numId="7" w16cid:durableId="2132942679">
    <w:abstractNumId w:val="2"/>
  </w:num>
  <w:num w:numId="8" w16cid:durableId="1916159816">
    <w:abstractNumId w:val="1"/>
  </w:num>
  <w:num w:numId="9" w16cid:durableId="199124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8D"/>
    <w:rsid w:val="00034616"/>
    <w:rsid w:val="0006063C"/>
    <w:rsid w:val="000B44FE"/>
    <w:rsid w:val="0015074B"/>
    <w:rsid w:val="001C4EE4"/>
    <w:rsid w:val="002829D1"/>
    <w:rsid w:val="0029639D"/>
    <w:rsid w:val="002A4682"/>
    <w:rsid w:val="00326F90"/>
    <w:rsid w:val="003A7547"/>
    <w:rsid w:val="005B4F6D"/>
    <w:rsid w:val="00634030"/>
    <w:rsid w:val="00641278"/>
    <w:rsid w:val="008045C2"/>
    <w:rsid w:val="008B32C2"/>
    <w:rsid w:val="00936630"/>
    <w:rsid w:val="00A36531"/>
    <w:rsid w:val="00AA1D8D"/>
    <w:rsid w:val="00AC2513"/>
    <w:rsid w:val="00B47730"/>
    <w:rsid w:val="00B73E80"/>
    <w:rsid w:val="00B7726E"/>
    <w:rsid w:val="00BB2D07"/>
    <w:rsid w:val="00CB0664"/>
    <w:rsid w:val="00E37A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8895D1"/>
  <w14:defaultImageDpi w14:val="300"/>
  <w15:docId w15:val="{0C485169-E3CC-4594-93D7-1B1FBCF2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hAnsi="Times New Roman"/>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40" w:after="10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0B44F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2483</Words>
  <Characters>15845</Characters>
  <Application>Microsoft Office Word</Application>
  <DocSecurity>0</DocSecurity>
  <Lines>226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for PG-to-HAP conversion</dc:title>
  <dc:subject/>
  <dc:creator/>
  <cp:keywords/>
  <dc:description>generated by python-docx</dc:description>
  <cp:lastModifiedBy>Yi Li</cp:lastModifiedBy>
  <cp:revision>14</cp:revision>
  <dcterms:created xsi:type="dcterms:W3CDTF">2013-12-23T23:15:00Z</dcterms:created>
  <dcterms:modified xsi:type="dcterms:W3CDTF">2026-08-29T10:06:00Z</dcterms:modified>
  <cp:category/>
</cp:coreProperties>
</file>