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1A" w:rsidRPr="00CB3458" w:rsidRDefault="0008401A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07C01" wp14:editId="47622DFF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7C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B5E3D" wp14:editId="29AB1265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</w:t>
                            </w:r>
                            <w:r w:rsidR="006F10CD">
                              <w:rPr>
                                <w:rFonts w:ascii="Times New Roman" w:hAnsi="Times New Roman" w:cs="Times New Roman"/>
                              </w:rPr>
                              <w:t>ИБТКС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6F10CD">
                              <w:rPr>
                                <w:rFonts w:ascii="Times New Roman" w:hAnsi="Times New Roman" w:cs="Times New Roman"/>
                              </w:rPr>
                              <w:t>Д. 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6F10CD">
                              <w:rPr>
                                <w:rFonts w:ascii="Times New Roman" w:hAnsi="Times New Roman" w:cs="Times New Roman"/>
                              </w:rPr>
                              <w:t>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E3D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</w:t>
                      </w:r>
                      <w:r w:rsidR="006F10CD">
                        <w:rPr>
                          <w:rFonts w:ascii="Times New Roman" w:hAnsi="Times New Roman" w:cs="Times New Roman"/>
                        </w:rPr>
                        <w:t>ИБТКС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6F10CD">
                        <w:rPr>
                          <w:rFonts w:ascii="Times New Roman" w:hAnsi="Times New Roman" w:cs="Times New Roman"/>
                        </w:rPr>
                        <w:t>Д. А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6F10CD">
                        <w:rPr>
                          <w:rFonts w:ascii="Times New Roman" w:hAnsi="Times New Roman" w:cs="Times New Roman"/>
                        </w:rPr>
                        <w:t>Петров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ED6411" wp14:editId="08249C9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6411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74FF2" wp14:editId="6AE2FEFB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№1</w:t>
                            </w:r>
                          </w:p>
                          <w:p w:rsidR="006F10CD" w:rsidRDefault="00BA7CCC" w:rsidP="006F10CD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="007502A4">
                              <w:rPr>
                                <w:b/>
                              </w:rPr>
                              <w:t>Исследование паразитных электромагнитных излучений и наводок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6F10CD" w:rsidRPr="006F10C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F10CD" w:rsidRDefault="006F10CD" w:rsidP="006F10CD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Безопасность информационных технологий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C417F7" w:rsidRPr="00646DF9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4FF2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№1</w:t>
                      </w:r>
                    </w:p>
                    <w:p w:rsidR="006F10CD" w:rsidRDefault="00BA7CCC" w:rsidP="006F10CD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="007502A4">
                        <w:rPr>
                          <w:b/>
                        </w:rPr>
                        <w:t>Исследование паразитных электромагнитных излучений и наводок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6F10CD" w:rsidRPr="006F10C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F10CD" w:rsidRDefault="006F10CD" w:rsidP="006F10CD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</w:rPr>
                        <w:t>Безопасность информационных технологий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C417F7" w:rsidRPr="00646DF9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:rsidR="00D41313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1043248" w:history="1">
        <w:r w:rsidR="00D41313" w:rsidRPr="003366E1">
          <w:rPr>
            <w:rStyle w:val="af9"/>
          </w:rPr>
          <w:t>Введение</w:t>
        </w:r>
        <w:r w:rsidR="00D41313">
          <w:rPr>
            <w:webHidden/>
          </w:rPr>
          <w:tab/>
        </w:r>
        <w:r w:rsidR="00D41313">
          <w:rPr>
            <w:webHidden/>
          </w:rPr>
          <w:fldChar w:fldCharType="begin"/>
        </w:r>
        <w:r w:rsidR="00D41313">
          <w:rPr>
            <w:webHidden/>
          </w:rPr>
          <w:instrText xml:space="preserve"> PAGEREF _Toc181043248 \h </w:instrText>
        </w:r>
        <w:r w:rsidR="00D41313">
          <w:rPr>
            <w:webHidden/>
          </w:rPr>
        </w:r>
        <w:r w:rsidR="00D41313">
          <w:rPr>
            <w:webHidden/>
          </w:rPr>
          <w:fldChar w:fldCharType="separate"/>
        </w:r>
        <w:r w:rsidR="00D41313">
          <w:rPr>
            <w:webHidden/>
          </w:rPr>
          <w:t>3</w:t>
        </w:r>
        <w:r w:rsidR="00D41313">
          <w:rPr>
            <w:webHidden/>
          </w:rPr>
          <w:fldChar w:fldCharType="end"/>
        </w:r>
      </w:hyperlink>
    </w:p>
    <w:p w:rsidR="00D41313" w:rsidRDefault="00D4131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43249" w:history="1">
        <w:r w:rsidRPr="003366E1">
          <w:rPr>
            <w:rStyle w:val="af9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_Toc181043249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1313" w:rsidRDefault="00D4131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43250" w:history="1">
        <w:r w:rsidRPr="003366E1">
          <w:rPr>
            <w:rStyle w:val="af9"/>
          </w:rPr>
          <w:t>2 Контрольные вопросы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_Toc181043250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1" w:history="1">
        <w:r w:rsidRPr="003366E1">
          <w:rPr>
            <w:rStyle w:val="af9"/>
            <w:noProof/>
          </w:rPr>
          <w:t>2.1 Факторы влияния на эффективность электромагнитного излучения проводником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2" w:history="1">
        <w:r w:rsidRPr="003366E1">
          <w:rPr>
            <w:rStyle w:val="af9"/>
            <w:noProof/>
          </w:rPr>
          <w:t>2.2 Информативные и неинформативные излучения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3" w:history="1">
        <w:r w:rsidRPr="003366E1">
          <w:rPr>
            <w:rStyle w:val="af9"/>
            <w:noProof/>
          </w:rPr>
          <w:t>2.3 Природа электромагнитных каналов утечки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4" w:history="1">
        <w:r w:rsidRPr="003366E1">
          <w:rPr>
            <w:rStyle w:val="af9"/>
            <w:noProof/>
          </w:rPr>
          <w:t>2.4 Причины возникновения паразитных связей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5" w:history="1">
        <w:r w:rsidRPr="003366E1">
          <w:rPr>
            <w:rStyle w:val="af9"/>
            <w:noProof/>
          </w:rPr>
          <w:t>2.5 Пример расчёта магнитного поля и Э.Д.С.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6" w:history="1">
        <w:r w:rsidRPr="003366E1">
          <w:rPr>
            <w:rStyle w:val="af9"/>
            <w:noProof/>
          </w:rPr>
          <w:t>2.6 Параметры приёмных антенн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7" w:history="1">
        <w:r w:rsidRPr="003366E1">
          <w:rPr>
            <w:rStyle w:val="af9"/>
            <w:noProof/>
          </w:rPr>
          <w:t>2.7 Методы обнаружения излучений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3258" w:history="1">
        <w:r w:rsidRPr="003366E1">
          <w:rPr>
            <w:rStyle w:val="af9"/>
            <w:noProof/>
          </w:rPr>
          <w:t>2.8 Методы борьбы с утечками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313" w:rsidRDefault="00D4131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43259" w:history="1">
        <w:r w:rsidRPr="003366E1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_Toc181043259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1A553F" w:rsidRDefault="001A553F" w:rsidP="00F01C2D">
      <w:pPr>
        <w:pStyle w:val="ad"/>
        <w:sectPr w:rsidR="001A553F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3" w:name="_Toc177496517"/>
      <w:bookmarkStart w:id="4" w:name="_Toc177497009"/>
      <w:bookmarkStart w:id="5" w:name="_Toc177497060"/>
    </w:p>
    <w:p w:rsidR="00282281" w:rsidRDefault="00282281" w:rsidP="00F01C2D">
      <w:pPr>
        <w:pStyle w:val="ad"/>
      </w:pPr>
      <w:bookmarkStart w:id="6" w:name="_Toc181043248"/>
      <w:r w:rsidRPr="00F01C2D">
        <w:lastRenderedPageBreak/>
        <w:t>Введение</w:t>
      </w:r>
      <w:bookmarkEnd w:id="3"/>
      <w:bookmarkEnd w:id="4"/>
      <w:bookmarkEnd w:id="5"/>
      <w:bookmarkEnd w:id="6"/>
    </w:p>
    <w:p w:rsidR="007502A4" w:rsidRDefault="007502A4" w:rsidP="007502A4">
      <w:pPr>
        <w:pStyle w:val="a9"/>
        <w:rPr>
          <w:rFonts w:ascii="Times New Roman" w:hAnsi="Times New Roman"/>
        </w:rPr>
      </w:pPr>
      <w:r>
        <w:t>Цель работы — определить количественные характеристики электромагнитного излучения, исходящего от радиоэлектронного оборудования (например, измерительных приборов, компьютеров, радиоприемников, пейджеров и пр.) и их отдельных элементов, создающих потенциально опасные сигналы.</w:t>
      </w:r>
    </w:p>
    <w:p w:rsidR="007502A4" w:rsidRDefault="007502A4" w:rsidP="007502A4">
      <w:pPr>
        <w:pStyle w:val="a9"/>
      </w:pPr>
      <w:r>
        <w:t>В лабораторной работе предстоит провести экспериментальное исследование уровней излучения таких приборов и их частей, в частности, на примере проводников печатных плат. Необходимо выполнить измерения на разных частотах, оценить возможность обнаружения излучений на различных расстояниях, а также определить методы борьбы с утечкой информации из-за нежелательных излучений.</w:t>
      </w:r>
    </w:p>
    <w:p w:rsidR="007502A4" w:rsidRDefault="007502A4" w:rsidP="007502A4">
      <w:pPr>
        <w:pStyle w:val="a9"/>
      </w:pPr>
      <w:r>
        <w:t xml:space="preserve">Для количественной оценки напряженности поля, создаваемого излучением приборов, используется </w:t>
      </w:r>
      <w:proofErr w:type="spellStart"/>
      <w:r>
        <w:t>спектроанализатор</w:t>
      </w:r>
      <w:proofErr w:type="spellEnd"/>
      <w:r>
        <w:t xml:space="preserve"> GSP-810. Для генерации тестовых сигналов применяется высокочастотный генератор Г4-151.</w:t>
      </w:r>
    </w:p>
    <w:p w:rsidR="007502A4" w:rsidRPr="007502A4" w:rsidRDefault="007502A4" w:rsidP="007502A4">
      <w:pPr>
        <w:pStyle w:val="a9"/>
      </w:pPr>
    </w:p>
    <w:p w:rsidR="00282281" w:rsidRDefault="00B32F9D" w:rsidP="00B32F9D">
      <w:pPr>
        <w:pStyle w:val="1"/>
      </w:pPr>
      <w:bookmarkStart w:id="7" w:name="_Toc181043249"/>
      <w:r>
        <w:lastRenderedPageBreak/>
        <w:t>Практическая часть</w:t>
      </w:r>
      <w:bookmarkEnd w:id="7"/>
    </w:p>
    <w:p w:rsidR="007502A4" w:rsidRDefault="007502A4" w:rsidP="007502A4">
      <w:pPr>
        <w:pStyle w:val="a9"/>
        <w:rPr>
          <w:rFonts w:ascii="Times New Roman" w:hAnsi="Times New Roman"/>
        </w:rPr>
      </w:pPr>
      <w:r>
        <w:t xml:space="preserve">Для выполнения лабораторной работы я провел экспериментальное исследование характеристик излучения генератора стандартных сигналов Г4-151. Измерения проводились с помощью </w:t>
      </w:r>
      <w:proofErr w:type="spellStart"/>
      <w:r>
        <w:t>спектроанализатора</w:t>
      </w:r>
      <w:proofErr w:type="spellEnd"/>
      <w:r>
        <w:t xml:space="preserve"> GSP-810, а также с использованием рамочной антенны как излучающей и измерительной антенны АИ5-0 как приемной.</w:t>
      </w:r>
    </w:p>
    <w:p w:rsidR="007502A4" w:rsidRDefault="007502A4" w:rsidP="007502A4">
      <w:pPr>
        <w:pStyle w:val="a9"/>
      </w:pPr>
      <w:r>
        <w:t xml:space="preserve">Сначала на генераторе Г4-151 я задал максимальную мощность излучения, отключил антенну и зафиксировал попытки обнаружить сигнал. Затем подключил рамочную антенну и измерил уровни излучения на нескольких частотах. Для частоты с наибольшим уровнем сигнала измерил уровни излучения на разных расстояниях, определив максимальную дальность обнаружения. </w:t>
      </w:r>
    </w:p>
    <w:p w:rsidR="007502A4" w:rsidRDefault="007502A4" w:rsidP="007502A4">
      <w:pPr>
        <w:pStyle w:val="a9"/>
      </w:pPr>
      <w:r>
        <w:t>На основе полученных данных были построены графики зависимости уровня принимаемого сигнала от частоты, что позволило выявить амплитудно-частотную характеристику и резонансные частоты</w:t>
      </w:r>
      <w:r>
        <w:t xml:space="preserve"> (рисунок 1)</w:t>
      </w:r>
      <w:r>
        <w:t>.</w:t>
      </w:r>
    </w:p>
    <w:p w:rsidR="007502A4" w:rsidRDefault="007502A4" w:rsidP="007502A4">
      <w:pPr>
        <w:pStyle w:val="af0"/>
      </w:pPr>
      <w:r w:rsidRPr="007502A4">
        <w:drawing>
          <wp:inline distT="0" distB="0" distL="0" distR="0" wp14:anchorId="16252509" wp14:editId="30B88749">
            <wp:extent cx="5150258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207" cy="32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A4" w:rsidRPr="007502A4" w:rsidRDefault="007502A4" w:rsidP="007502A4">
      <w:pPr>
        <w:pStyle w:val="a0"/>
        <w:rPr>
          <w:lang w:eastAsia="ru-RU"/>
        </w:rPr>
      </w:pPr>
      <w:r>
        <w:rPr>
          <w:lang w:eastAsia="ru-RU"/>
        </w:rPr>
        <w:t xml:space="preserve"> — График зависимости уровня сигнала</w:t>
      </w:r>
      <w:r w:rsidR="00535CED">
        <w:rPr>
          <w:lang w:eastAsia="ru-RU"/>
        </w:rPr>
        <w:t xml:space="preserve"> от частоты</w:t>
      </w:r>
    </w:p>
    <w:p w:rsidR="008B5942" w:rsidRDefault="007502A4" w:rsidP="007502A4">
      <w:pPr>
        <w:pStyle w:val="1"/>
      </w:pPr>
      <w:bookmarkStart w:id="8" w:name="_Toc181043250"/>
      <w:r>
        <w:lastRenderedPageBreak/>
        <w:t>Контрольные вопросы</w:t>
      </w:r>
      <w:bookmarkStart w:id="9" w:name="_GoBack"/>
      <w:bookmarkEnd w:id="8"/>
      <w:bookmarkEnd w:id="9"/>
    </w:p>
    <w:p w:rsidR="00205017" w:rsidRPr="00205017" w:rsidRDefault="00205017" w:rsidP="00205017">
      <w:pPr>
        <w:pStyle w:val="2"/>
        <w:rPr>
          <w:rStyle w:val="20"/>
          <w:b/>
        </w:rPr>
      </w:pPr>
      <w:bookmarkStart w:id="10" w:name="_Toc181043251"/>
      <w:r w:rsidRPr="00205017">
        <w:rPr>
          <w:rStyle w:val="20"/>
          <w:b/>
        </w:rPr>
        <w:t>Факторы влияния на эффективность электромагнитного излучения проводником</w:t>
      </w:r>
      <w:bookmarkEnd w:id="10"/>
    </w:p>
    <w:p w:rsidR="00205017" w:rsidRDefault="00205017" w:rsidP="00205017">
      <w:pPr>
        <w:pStyle w:val="a9"/>
        <w:rPr>
          <w:rFonts w:ascii="Times New Roman" w:hAnsi="Times New Roman"/>
        </w:rPr>
      </w:pPr>
      <w:r>
        <w:t>Материал проводника, его длина и форма, частота сигнала, наличие заземления и окружающие проводник объекты.</w:t>
      </w:r>
    </w:p>
    <w:p w:rsidR="00205017" w:rsidRPr="00205017" w:rsidRDefault="00205017" w:rsidP="00205017">
      <w:pPr>
        <w:pStyle w:val="2"/>
      </w:pPr>
      <w:bookmarkStart w:id="11" w:name="_Toc181043252"/>
      <w:r w:rsidRPr="00205017">
        <w:rPr>
          <w:rStyle w:val="aff8"/>
          <w:b/>
          <w:bCs w:val="0"/>
        </w:rPr>
        <w:t>Информативные и неинформативные излучения</w:t>
      </w:r>
      <w:bookmarkEnd w:id="11"/>
      <w:r w:rsidRPr="00205017">
        <w:t xml:space="preserve"> </w:t>
      </w:r>
    </w:p>
    <w:p w:rsidR="00205017" w:rsidRDefault="00205017" w:rsidP="00205017">
      <w:pPr>
        <w:pStyle w:val="a9"/>
      </w:pPr>
      <w:r>
        <w:t>Информативные излучения несут полезную информацию о работе устройства, неинформативные — случайные и не несут информации. Оценочные расчёты количественных характеристик излучений проводятся на основе замеров интенсивности и частоты сигнала.</w:t>
      </w:r>
    </w:p>
    <w:p w:rsidR="00205017" w:rsidRPr="00205017" w:rsidRDefault="00205017" w:rsidP="00205017">
      <w:pPr>
        <w:pStyle w:val="2"/>
      </w:pPr>
      <w:bookmarkStart w:id="12" w:name="_Toc181043253"/>
      <w:r w:rsidRPr="00205017">
        <w:rPr>
          <w:rStyle w:val="aff8"/>
          <w:b/>
          <w:bCs w:val="0"/>
        </w:rPr>
        <w:t>Природа электромагнитных каналов утечки</w:t>
      </w:r>
      <w:bookmarkEnd w:id="12"/>
      <w:r w:rsidRPr="00205017">
        <w:t xml:space="preserve"> </w:t>
      </w:r>
    </w:p>
    <w:p w:rsidR="00205017" w:rsidRDefault="00205017" w:rsidP="00205017">
      <w:pPr>
        <w:pStyle w:val="a9"/>
      </w:pPr>
      <w:r>
        <w:t>Электромагнитные каналы утечки возникают из-за побочного излучения электронных компонентов, которое может нести информацию об устройстве.</w:t>
      </w:r>
    </w:p>
    <w:p w:rsidR="00205017" w:rsidRPr="00205017" w:rsidRDefault="00205017" w:rsidP="00205017">
      <w:pPr>
        <w:pStyle w:val="2"/>
      </w:pPr>
      <w:bookmarkStart w:id="13" w:name="_Toc181043254"/>
      <w:r w:rsidRPr="00205017">
        <w:rPr>
          <w:rStyle w:val="aff8"/>
          <w:b/>
          <w:bCs w:val="0"/>
        </w:rPr>
        <w:t>Причины возникновения паразитных связей</w:t>
      </w:r>
      <w:bookmarkEnd w:id="13"/>
    </w:p>
    <w:p w:rsidR="00205017" w:rsidRDefault="00205017" w:rsidP="00205017">
      <w:pPr>
        <w:pStyle w:val="a9"/>
      </w:pPr>
      <w:r>
        <w:t>Паразитные емкостные и индуктивные связи возникают из-за близости проводников, излучения магнитных и электрических полей. Расчёты проводятся с помощью формул для ёмкости и индуктивности между проводниками.</w:t>
      </w:r>
    </w:p>
    <w:p w:rsidR="00205017" w:rsidRPr="00205017" w:rsidRDefault="00205017" w:rsidP="00205017">
      <w:pPr>
        <w:pStyle w:val="2"/>
      </w:pPr>
      <w:bookmarkStart w:id="14" w:name="_Toc181043255"/>
      <w:r w:rsidRPr="00205017">
        <w:rPr>
          <w:rStyle w:val="aff8"/>
          <w:b/>
          <w:bCs w:val="0"/>
        </w:rPr>
        <w:t>Пример расчёта магнитного поля и Э.Д.С.</w:t>
      </w:r>
      <w:bookmarkEnd w:id="14"/>
    </w:p>
    <w:p w:rsidR="00205017" w:rsidRDefault="00205017" w:rsidP="00205017">
      <w:pPr>
        <w:pStyle w:val="a9"/>
      </w:pPr>
      <w:r>
        <w:t>Для круговой рамки используется формула</w:t>
      </w:r>
      <w:r>
        <w:t xml:space="preserve">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t xml:space="preserve">, где </w:t>
      </w:r>
      <w:r>
        <w:rPr>
          <w:rStyle w:val="katex-mathml"/>
        </w:rPr>
        <w:t>B</w:t>
      </w:r>
      <w:r>
        <w:t xml:space="preserve"> — магнитное поле, </w:t>
      </w:r>
      <w:r>
        <w:rPr>
          <w:rStyle w:val="katex-mathml"/>
        </w:rPr>
        <w:t>I</w:t>
      </w:r>
      <w:r>
        <w:t xml:space="preserve"> — ток, </w:t>
      </w:r>
      <w:r>
        <w:rPr>
          <w:rStyle w:val="mord"/>
        </w:rPr>
        <w:t>r</w:t>
      </w:r>
      <w:r>
        <w:t xml:space="preserve"> — радиус рамки.</w:t>
      </w:r>
    </w:p>
    <w:p w:rsidR="00D41313" w:rsidRPr="00D41313" w:rsidRDefault="00205017" w:rsidP="00D41313">
      <w:pPr>
        <w:pStyle w:val="2"/>
      </w:pPr>
      <w:bookmarkStart w:id="15" w:name="_Toc181043256"/>
      <w:r w:rsidRPr="00D41313">
        <w:rPr>
          <w:rStyle w:val="aff8"/>
          <w:b/>
          <w:bCs w:val="0"/>
        </w:rPr>
        <w:lastRenderedPageBreak/>
        <w:t>Параметры приёмных антенн</w:t>
      </w:r>
      <w:bookmarkEnd w:id="15"/>
      <w:r w:rsidRPr="00D41313">
        <w:t xml:space="preserve"> </w:t>
      </w:r>
    </w:p>
    <w:p w:rsidR="00205017" w:rsidRDefault="00205017" w:rsidP="00205017">
      <w:pPr>
        <w:pStyle w:val="a9"/>
      </w:pPr>
      <w:r>
        <w:t>Важны чувствительность, диапазон частот, ширина диаграммы направленности. Пороговая чувствительность рассчитывается с учётом минимальной мощности сигнала.</w:t>
      </w:r>
    </w:p>
    <w:p w:rsidR="00D41313" w:rsidRPr="00D41313" w:rsidRDefault="00205017" w:rsidP="00D41313">
      <w:pPr>
        <w:pStyle w:val="2"/>
      </w:pPr>
      <w:bookmarkStart w:id="16" w:name="_Toc181043257"/>
      <w:r w:rsidRPr="00D41313">
        <w:rPr>
          <w:rStyle w:val="aff8"/>
          <w:b/>
          <w:bCs w:val="0"/>
        </w:rPr>
        <w:t>Методы обнаружения излучений</w:t>
      </w:r>
      <w:bookmarkEnd w:id="16"/>
      <w:r w:rsidRPr="00D41313">
        <w:t xml:space="preserve"> </w:t>
      </w:r>
    </w:p>
    <w:p w:rsidR="00205017" w:rsidRDefault="00205017" w:rsidP="00205017">
      <w:pPr>
        <w:pStyle w:val="a9"/>
      </w:pPr>
      <w:r>
        <w:t>Спектральный анализ, анализатор поля, приёмники с антеннами направленного действия.</w:t>
      </w:r>
    </w:p>
    <w:p w:rsidR="00D41313" w:rsidRPr="00D41313" w:rsidRDefault="00205017" w:rsidP="00D41313">
      <w:pPr>
        <w:pStyle w:val="2"/>
      </w:pPr>
      <w:bookmarkStart w:id="17" w:name="_Toc181043258"/>
      <w:r w:rsidRPr="00D41313">
        <w:rPr>
          <w:rStyle w:val="aff8"/>
          <w:b/>
          <w:bCs w:val="0"/>
        </w:rPr>
        <w:t>Методы борьбы с утечками информации</w:t>
      </w:r>
      <w:bookmarkEnd w:id="17"/>
      <w:r w:rsidRPr="00D41313">
        <w:t xml:space="preserve"> </w:t>
      </w:r>
    </w:p>
    <w:p w:rsidR="00205017" w:rsidRDefault="00205017" w:rsidP="00205017">
      <w:pPr>
        <w:pStyle w:val="a9"/>
      </w:pPr>
      <w:r>
        <w:t xml:space="preserve">Экранирование, фильтрация, </w:t>
      </w:r>
      <w:proofErr w:type="spellStart"/>
      <w:r>
        <w:t>дистанцирование</w:t>
      </w:r>
      <w:proofErr w:type="spellEnd"/>
      <w:r>
        <w:t xml:space="preserve"> проводников, использование экранированных корпусов.</w:t>
      </w:r>
    </w:p>
    <w:p w:rsidR="00205017" w:rsidRPr="00205017" w:rsidRDefault="00205017" w:rsidP="00205017">
      <w:pPr>
        <w:pStyle w:val="a9"/>
      </w:pPr>
    </w:p>
    <w:p w:rsidR="00282281" w:rsidRDefault="00282281" w:rsidP="00282281">
      <w:pPr>
        <w:pStyle w:val="ad"/>
        <w:rPr>
          <w:rStyle w:val="af"/>
          <w:noProof/>
          <w:vanish w:val="0"/>
        </w:rPr>
      </w:pPr>
      <w:bookmarkStart w:id="18" w:name="_Toc177496519"/>
      <w:bookmarkStart w:id="19" w:name="_Toc177497011"/>
      <w:bookmarkStart w:id="20" w:name="_Toc177497062"/>
      <w:bookmarkStart w:id="21" w:name="_Toc181043259"/>
      <w:r>
        <w:rPr>
          <w:rStyle w:val="af"/>
          <w:noProof/>
          <w:vanish w:val="0"/>
        </w:rPr>
        <w:lastRenderedPageBreak/>
        <w:t>Заключение</w:t>
      </w:r>
      <w:bookmarkEnd w:id="18"/>
      <w:bookmarkEnd w:id="19"/>
      <w:bookmarkEnd w:id="20"/>
      <w:bookmarkEnd w:id="21"/>
    </w:p>
    <w:p w:rsidR="00C1647C" w:rsidRPr="008F58F4" w:rsidRDefault="007502A4" w:rsidP="008F58F4">
      <w:pPr>
        <w:pStyle w:val="a9"/>
      </w:pPr>
      <w:r>
        <w:t>В ходе лабораторной работы были определены количественные характеристики электромагнитного излучения, создаваемого радиоэлектронными устройствами и их элементами. Проведенные измерения позволили выявить основные параметры излучения на разных частотах и оценить возможности обнаружения сигналов на различных расстояниях. Результаты экспериментов показали, что излучения от оборудования могут быть зафиксированы и оценены, что подтверждает необходимость учитывать такие параметры при разработке мер защиты от утечки информации через паразитные излучения. Полученные данные также дают возможность определить способы минимизации рисков, связанных с излучениями радиоэлектронных приборов.</w:t>
      </w:r>
    </w:p>
    <w:sectPr w:rsidR="00C1647C" w:rsidRPr="008F58F4" w:rsidSect="001A553F">
      <w:footerReference w:type="default" r:id="rId13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D03" w:rsidRDefault="00FC0D03" w:rsidP="007A022D">
      <w:r>
        <w:separator/>
      </w:r>
    </w:p>
  </w:endnote>
  <w:endnote w:type="continuationSeparator" w:id="0">
    <w:p w:rsidR="00FC0D03" w:rsidRDefault="00FC0D03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535CE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D03" w:rsidRDefault="00FC0D03" w:rsidP="007A022D">
      <w:r>
        <w:separator/>
      </w:r>
    </w:p>
  </w:footnote>
  <w:footnote w:type="continuationSeparator" w:id="0">
    <w:p w:rsidR="00FC0D03" w:rsidRDefault="00FC0D03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C7446"/>
    <w:multiLevelType w:val="multilevel"/>
    <w:tmpl w:val="6CE28B30"/>
    <w:numStyleLink w:val="a"/>
  </w:abstractNum>
  <w:abstractNum w:abstractNumId="9" w15:restartNumberingAfterBreak="0">
    <w:nsid w:val="32AA658E"/>
    <w:multiLevelType w:val="multilevel"/>
    <w:tmpl w:val="B29CA7AE"/>
    <w:name w:val="Equations2"/>
    <w:numStyleLink w:val="a2"/>
  </w:abstractNum>
  <w:abstractNum w:abstractNumId="10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5B18CE"/>
    <w:multiLevelType w:val="multilevel"/>
    <w:tmpl w:val="4B4C2E20"/>
    <w:numStyleLink w:val="a3"/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0"/>
  </w:num>
  <w:num w:numId="9">
    <w:abstractNumId w:val="16"/>
  </w:num>
  <w:num w:numId="10">
    <w:abstractNumId w:val="8"/>
  </w:num>
  <w:num w:numId="11">
    <w:abstractNumId w:val="1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CD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721A6"/>
    <w:rsid w:val="0017381A"/>
    <w:rsid w:val="0019653F"/>
    <w:rsid w:val="001A553F"/>
    <w:rsid w:val="001A7AD9"/>
    <w:rsid w:val="001E5331"/>
    <w:rsid w:val="002004D4"/>
    <w:rsid w:val="00204223"/>
    <w:rsid w:val="00205017"/>
    <w:rsid w:val="0024362C"/>
    <w:rsid w:val="00256E90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B32DB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B61EC"/>
    <w:rsid w:val="004C563B"/>
    <w:rsid w:val="004F5D1C"/>
    <w:rsid w:val="00512535"/>
    <w:rsid w:val="00535CED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5533D"/>
    <w:rsid w:val="0068656D"/>
    <w:rsid w:val="00694AB5"/>
    <w:rsid w:val="006A3AFC"/>
    <w:rsid w:val="006B5E72"/>
    <w:rsid w:val="006C123A"/>
    <w:rsid w:val="006F10CD"/>
    <w:rsid w:val="006F5F51"/>
    <w:rsid w:val="0073683C"/>
    <w:rsid w:val="007430E4"/>
    <w:rsid w:val="007502A4"/>
    <w:rsid w:val="00753771"/>
    <w:rsid w:val="00763C3C"/>
    <w:rsid w:val="00764DE6"/>
    <w:rsid w:val="007843F6"/>
    <w:rsid w:val="00793B6D"/>
    <w:rsid w:val="007A022D"/>
    <w:rsid w:val="007A2866"/>
    <w:rsid w:val="007D119E"/>
    <w:rsid w:val="007E6A70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12832"/>
    <w:rsid w:val="00921087"/>
    <w:rsid w:val="00945A48"/>
    <w:rsid w:val="00952664"/>
    <w:rsid w:val="00971679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417F7"/>
    <w:rsid w:val="00C63863"/>
    <w:rsid w:val="00C87FA7"/>
    <w:rsid w:val="00CA4F5D"/>
    <w:rsid w:val="00CA54A7"/>
    <w:rsid w:val="00CD2B71"/>
    <w:rsid w:val="00CE1AA7"/>
    <w:rsid w:val="00CF43C3"/>
    <w:rsid w:val="00D41313"/>
    <w:rsid w:val="00D46816"/>
    <w:rsid w:val="00D7047F"/>
    <w:rsid w:val="00D81843"/>
    <w:rsid w:val="00D91718"/>
    <w:rsid w:val="00D9364C"/>
    <w:rsid w:val="00E108D7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0D03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FCB00"/>
  <w15:chartTrackingRefBased/>
  <w15:docId w15:val="{ACC05308-9236-4AB4-A7B3-6798F089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6F10CD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6F10CD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character" w:customStyle="1" w:styleId="katex-mathml">
    <w:name w:val="katex-mathml"/>
    <w:basedOn w:val="aa"/>
    <w:rsid w:val="00205017"/>
  </w:style>
  <w:style w:type="character" w:customStyle="1" w:styleId="mord">
    <w:name w:val="mord"/>
    <w:basedOn w:val="aa"/>
    <w:rsid w:val="00205017"/>
  </w:style>
  <w:style w:type="character" w:customStyle="1" w:styleId="mrel">
    <w:name w:val="mrel"/>
    <w:basedOn w:val="aa"/>
    <w:rsid w:val="00205017"/>
  </w:style>
  <w:style w:type="character" w:customStyle="1" w:styleId="mopen">
    <w:name w:val="mopen"/>
    <w:basedOn w:val="aa"/>
    <w:rsid w:val="00205017"/>
  </w:style>
  <w:style w:type="character" w:customStyle="1" w:styleId="mbin">
    <w:name w:val="mbin"/>
    <w:basedOn w:val="aa"/>
    <w:rsid w:val="00205017"/>
  </w:style>
  <w:style w:type="character" w:customStyle="1" w:styleId="mclose">
    <w:name w:val="mclose"/>
    <w:basedOn w:val="aa"/>
    <w:rsid w:val="00205017"/>
  </w:style>
  <w:style w:type="character" w:customStyle="1" w:styleId="vlist-s">
    <w:name w:val="vlist-s"/>
    <w:basedOn w:val="aa"/>
    <w:rsid w:val="0020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2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556F0B-6ECF-4A4A-9A0A-DD62E720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35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cp:lastPrinted>2024-09-26T06:05:00Z</cp:lastPrinted>
  <dcterms:created xsi:type="dcterms:W3CDTF">2024-10-28T14:59:00Z</dcterms:created>
  <dcterms:modified xsi:type="dcterms:W3CDTF">2024-10-28T18:33:00Z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