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1A" w:rsidRPr="00CB3458" w:rsidRDefault="0008401A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07C01" wp14:editId="47622DFF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08398A">
                              <w:t>.</w:t>
                            </w:r>
                            <w:r>
                              <w:t xml:space="preserve"> М</w:t>
                            </w:r>
                            <w:r w:rsidR="0008398A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Курейчика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07C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08398A">
                        <w:t>.</w:t>
                      </w:r>
                      <w:r>
                        <w:t xml:space="preserve"> М</w:t>
                      </w:r>
                      <w:r w:rsidR="0008398A"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Курейчика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B5E3D" wp14:editId="29AB1265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доцент каф. </w:t>
                            </w:r>
                            <w:r w:rsidR="0095666E">
                              <w:rPr>
                                <w:rFonts w:ascii="Times New Roman" w:hAnsi="Times New Roman" w:cs="Times New Roman"/>
                              </w:rPr>
                              <w:t>ИБТКС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95666E">
                              <w:rPr>
                                <w:rFonts w:ascii="Times New Roman" w:hAnsi="Times New Roman" w:cs="Times New Roman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95666E">
                              <w:rPr>
                                <w:rFonts w:ascii="Times New Roman" w:hAnsi="Times New Roman" w:cs="Times New Roman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95666E">
                              <w:rPr>
                                <w:rFonts w:ascii="Times New Roman" w:hAnsi="Times New Roman" w:cs="Times New Roman"/>
                              </w:rPr>
                              <w:t>Петров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5E3D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доцент каф. </w:t>
                      </w:r>
                      <w:r w:rsidR="0095666E">
                        <w:rPr>
                          <w:rFonts w:ascii="Times New Roman" w:hAnsi="Times New Roman" w:cs="Times New Roman"/>
                        </w:rPr>
                        <w:t>ИБТКС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95666E">
                        <w:rPr>
                          <w:rFonts w:ascii="Times New Roman" w:hAnsi="Times New Roman" w:cs="Times New Roman"/>
                        </w:rPr>
                        <w:t>Д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95666E">
                        <w:rPr>
                          <w:rFonts w:ascii="Times New Roman" w:hAnsi="Times New Roman" w:cs="Times New Roman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95666E">
                        <w:rPr>
                          <w:rFonts w:ascii="Times New Roman" w:hAnsi="Times New Roman" w:cs="Times New Roman"/>
                        </w:rPr>
                        <w:t>Петров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ED6411" wp14:editId="08249C92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D6411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74FF2" wp14:editId="6AE2FEFB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95666E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:rsidR="0095666E" w:rsidRDefault="00BA7CCC" w:rsidP="0095666E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на тему: </w:t>
                            </w:r>
                            <w:r w:rsidR="00C417F7" w:rsidRPr="00685116">
                              <w:rPr>
                                <w:rFonts w:ascii="Times New Roman" w:hAnsi="Times New Roman" w:cs="Times New Roman"/>
                                <w:b/>
                              </w:rPr>
                              <w:t>«</w:t>
                            </w:r>
                            <w:r w:rsidR="00685116" w:rsidRPr="00685116">
                              <w:rPr>
                                <w:b/>
                              </w:rPr>
                              <w:t xml:space="preserve">Методы съёма информации по </w:t>
                            </w:r>
                            <w:proofErr w:type="spellStart"/>
                            <w:r w:rsidR="00685116" w:rsidRPr="00685116">
                              <w:rPr>
                                <w:b/>
                              </w:rPr>
                              <w:t>виброакустическому</w:t>
                            </w:r>
                            <w:proofErr w:type="spellEnd"/>
                            <w:r w:rsidR="00685116" w:rsidRPr="00685116">
                              <w:rPr>
                                <w:b/>
                              </w:rPr>
                              <w:t xml:space="preserve"> каналу и меры по противодействию утечке информации</w:t>
                            </w:r>
                            <w:r w:rsidR="00C417F7" w:rsidRPr="00685116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="0095666E" w:rsidRPr="0095666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95666E" w:rsidRDefault="0095666E" w:rsidP="0095666E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 w:rsidR="00685116">
                              <w:rPr>
                                <w:rFonts w:ascii="Times New Roman" w:hAnsi="Times New Roman" w:cs="Times New Roman"/>
                              </w:rPr>
                              <w:t>Безопасность информационных технологий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C417F7" w:rsidRPr="00646DF9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95666E" w:rsidRDefault="00956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4FF2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95666E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:rsidR="0095666E" w:rsidRDefault="00BA7CCC" w:rsidP="0095666E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на тему: </w:t>
                      </w:r>
                      <w:r w:rsidR="00C417F7" w:rsidRPr="00685116">
                        <w:rPr>
                          <w:rFonts w:ascii="Times New Roman" w:hAnsi="Times New Roman" w:cs="Times New Roman"/>
                          <w:b/>
                        </w:rPr>
                        <w:t>«</w:t>
                      </w:r>
                      <w:r w:rsidR="00685116" w:rsidRPr="00685116">
                        <w:rPr>
                          <w:b/>
                        </w:rPr>
                        <w:t xml:space="preserve">Методы съёма информации по </w:t>
                      </w:r>
                      <w:proofErr w:type="spellStart"/>
                      <w:r w:rsidR="00685116" w:rsidRPr="00685116">
                        <w:rPr>
                          <w:b/>
                        </w:rPr>
                        <w:t>виброакустическому</w:t>
                      </w:r>
                      <w:proofErr w:type="spellEnd"/>
                      <w:r w:rsidR="00685116" w:rsidRPr="00685116">
                        <w:rPr>
                          <w:b/>
                        </w:rPr>
                        <w:t xml:space="preserve"> каналу и меры по противодействию утечке информации</w:t>
                      </w:r>
                      <w:r w:rsidR="00C417F7" w:rsidRPr="00685116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="0095666E" w:rsidRPr="0095666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95666E" w:rsidRDefault="0095666E" w:rsidP="0095666E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 w:rsidR="00685116">
                        <w:rPr>
                          <w:rFonts w:ascii="Times New Roman" w:hAnsi="Times New Roman" w:cs="Times New Roman"/>
                        </w:rPr>
                        <w:t>Безопасность информационных технологий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C417F7" w:rsidRPr="00646DF9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95666E" w:rsidRDefault="0095666E"/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:rsidR="008F5F4B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1045974" w:history="1">
        <w:r w:rsidR="008F5F4B" w:rsidRPr="00C10EB9">
          <w:rPr>
            <w:rStyle w:val="af9"/>
          </w:rPr>
          <w:t>Введение</w:t>
        </w:r>
        <w:r w:rsidR="008F5F4B">
          <w:rPr>
            <w:webHidden/>
          </w:rPr>
          <w:tab/>
        </w:r>
        <w:r w:rsidR="008F5F4B">
          <w:rPr>
            <w:webHidden/>
          </w:rPr>
          <w:fldChar w:fldCharType="begin"/>
        </w:r>
        <w:r w:rsidR="008F5F4B">
          <w:rPr>
            <w:webHidden/>
          </w:rPr>
          <w:instrText xml:space="preserve"> PAGEREF _Toc181045974 \h </w:instrText>
        </w:r>
        <w:r w:rsidR="008F5F4B">
          <w:rPr>
            <w:webHidden/>
          </w:rPr>
        </w:r>
        <w:r w:rsidR="008F5F4B">
          <w:rPr>
            <w:webHidden/>
          </w:rPr>
          <w:fldChar w:fldCharType="separate"/>
        </w:r>
        <w:r w:rsidR="008F5F4B">
          <w:rPr>
            <w:webHidden/>
          </w:rPr>
          <w:t>3</w:t>
        </w:r>
        <w:r w:rsidR="008F5F4B">
          <w:rPr>
            <w:webHidden/>
          </w:rPr>
          <w:fldChar w:fldCharType="end"/>
        </w:r>
      </w:hyperlink>
    </w:p>
    <w:p w:rsidR="008F5F4B" w:rsidRDefault="008F5F4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45975" w:history="1">
        <w:r w:rsidRPr="00C10EB9">
          <w:rPr>
            <w:rStyle w:val="af9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_Toc181045975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76" w:history="1">
        <w:r w:rsidRPr="00C10EB9">
          <w:rPr>
            <w:rStyle w:val="af9"/>
            <w:noProof/>
          </w:rPr>
          <w:t>1.1 Измерение АЧХ без включенного зашумления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77" w:history="1">
        <w:r w:rsidRPr="00C10EB9">
          <w:rPr>
            <w:rStyle w:val="af9"/>
            <w:noProof/>
          </w:rPr>
          <w:t>1.2 Измерение АЧХ при включенном зашумлении "СОНАТА-АВ"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45978" w:history="1">
        <w:r w:rsidRPr="00C10EB9">
          <w:rPr>
            <w:rStyle w:val="af9"/>
          </w:rPr>
          <w:t>2 КОнтрольные вопросы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_Toc181045978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79" w:history="1">
        <w:r w:rsidRPr="00C10EB9">
          <w:rPr>
            <w:rStyle w:val="af9"/>
            <w:noProof/>
          </w:rPr>
          <w:t>2.1 Специфические особенности речевой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80" w:history="1">
        <w:r w:rsidRPr="00C10EB9">
          <w:rPr>
            <w:rStyle w:val="af9"/>
            <w:noProof/>
          </w:rPr>
          <w:t>2.2 Определение и особенности акустических каналов утечки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81" w:history="1">
        <w:r w:rsidRPr="00C10EB9">
          <w:rPr>
            <w:rStyle w:val="af9"/>
            <w:noProof/>
          </w:rPr>
          <w:t>2.3 Основные акустические параметры и уровни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82" w:history="1">
        <w:r w:rsidRPr="00C10EB9">
          <w:rPr>
            <w:rStyle w:val="af9"/>
            <w:noProof/>
          </w:rPr>
          <w:t>2.4 Словесная, слоговая и формантная разборчивость речи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83" w:history="1">
        <w:r w:rsidRPr="00C10EB9">
          <w:rPr>
            <w:rStyle w:val="af9"/>
            <w:noProof/>
          </w:rPr>
          <w:t>2.5 Распространение виброакустических колебаний и коэффициенты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84" w:history="1">
        <w:r w:rsidRPr="00C10EB9">
          <w:rPr>
            <w:rStyle w:val="af9"/>
            <w:noProof/>
          </w:rPr>
          <w:t xml:space="preserve">2.6 Несанкционированный съем и степени защиты речевой </w:t>
        </w:r>
        <w:r>
          <w:rPr>
            <w:rStyle w:val="af9"/>
            <w:noProof/>
          </w:rPr>
          <w:t xml:space="preserve">       </w:t>
        </w:r>
        <w:r w:rsidRPr="00C10EB9">
          <w:rPr>
            <w:rStyle w:val="af9"/>
            <w:noProof/>
          </w:rPr>
          <w:t>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85" w:history="1">
        <w:r w:rsidRPr="00C10EB9">
          <w:rPr>
            <w:rStyle w:val="af9"/>
            <w:noProof/>
          </w:rPr>
          <w:t>2.7 Методы защиты от несанкционированного доступа к акустической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86" w:history="1">
        <w:r w:rsidRPr="00C10EB9">
          <w:rPr>
            <w:rStyle w:val="af9"/>
            <w:noProof/>
          </w:rPr>
          <w:t>2.8 Степени защиты и смысловая разборчивость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45987" w:history="1">
        <w:r w:rsidRPr="00C10EB9">
          <w:rPr>
            <w:rStyle w:val="af9"/>
            <w:noProof/>
          </w:rPr>
          <w:t>2.9 Оперативная оценка качества звукоизоляции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5F4B" w:rsidRDefault="008F5F4B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45988" w:history="1">
        <w:r w:rsidRPr="00C10EB9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_Toc181045988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6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1A553F" w:rsidRDefault="001A553F" w:rsidP="00F01C2D">
      <w:pPr>
        <w:pStyle w:val="ad"/>
        <w:sectPr w:rsidR="001A553F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3" w:name="_Toc177496517"/>
      <w:bookmarkStart w:id="4" w:name="_Toc177497009"/>
      <w:bookmarkStart w:id="5" w:name="_Toc177497060"/>
      <w:bookmarkStart w:id="6" w:name="_GoBack"/>
      <w:bookmarkEnd w:id="6"/>
    </w:p>
    <w:p w:rsidR="00282281" w:rsidRDefault="00282281" w:rsidP="00BE14B3">
      <w:pPr>
        <w:pStyle w:val="ad"/>
      </w:pPr>
      <w:bookmarkStart w:id="7" w:name="_Toc181045974"/>
      <w:r w:rsidRPr="00BE14B3">
        <w:lastRenderedPageBreak/>
        <w:t>Введение</w:t>
      </w:r>
      <w:bookmarkEnd w:id="3"/>
      <w:bookmarkEnd w:id="4"/>
      <w:bookmarkEnd w:id="5"/>
      <w:bookmarkEnd w:id="7"/>
    </w:p>
    <w:p w:rsidR="00BE14B3" w:rsidRDefault="00BE14B3" w:rsidP="00BE14B3">
      <w:pPr>
        <w:pStyle w:val="a9"/>
      </w:pPr>
      <w:r w:rsidRPr="00BE14B3">
        <w:rPr>
          <w:rStyle w:val="aff8"/>
          <w:rFonts w:eastAsiaTheme="majorEastAsia"/>
          <w:b w:val="0"/>
        </w:rPr>
        <w:t>Цель работы</w:t>
      </w:r>
      <w:r>
        <w:rPr>
          <w:rStyle w:val="aff8"/>
          <w:rFonts w:eastAsiaTheme="majorEastAsia"/>
        </w:rPr>
        <w:t xml:space="preserve"> — </w:t>
      </w:r>
      <w:r>
        <w:t>изучение</w:t>
      </w:r>
      <w:r>
        <w:t xml:space="preserve"> работ</w:t>
      </w:r>
      <w:r>
        <w:t>ы</w:t>
      </w:r>
      <w:r>
        <w:t xml:space="preserve"> многоцелев</w:t>
      </w:r>
      <w:r>
        <w:t>ого поискового прибора ST-031P «ПИРАНЬЯ»</w:t>
      </w:r>
      <w:r>
        <w:t xml:space="preserve"> в режиме </w:t>
      </w:r>
      <w:proofErr w:type="spellStart"/>
      <w:r>
        <w:t>виброакустического</w:t>
      </w:r>
      <w:proofErr w:type="spellEnd"/>
      <w:r>
        <w:t xml:space="preserve"> анализа, а также системы акустической и </w:t>
      </w:r>
      <w:proofErr w:type="spellStart"/>
      <w:r>
        <w:t>виброакустической</w:t>
      </w:r>
      <w:proofErr w:type="spellEnd"/>
      <w:r>
        <w:t xml:space="preserve"> защиты «СОНАТА-АВ»</w:t>
      </w:r>
      <w:r>
        <w:t xml:space="preserve"> в режиме </w:t>
      </w:r>
      <w:proofErr w:type="spellStart"/>
      <w:r>
        <w:t>виброакустического</w:t>
      </w:r>
      <w:proofErr w:type="spellEnd"/>
      <w:r>
        <w:t xml:space="preserve"> зашумления.</w:t>
      </w:r>
    </w:p>
    <w:p w:rsidR="00BE14B3" w:rsidRDefault="00BE14B3" w:rsidP="00BE14B3">
      <w:pPr>
        <w:pStyle w:val="a9"/>
      </w:pPr>
      <w:r>
        <w:t xml:space="preserve">Речевая информация, будучи естественным и распространённым способом коммуникации, обладает рядом уникальных характеристик, которые делают её особенно ценной и востребованной для перехвата. Конфиденциальные сообщения, озвученные голосом, часто носят оперативный и личный характер, что придаёт им особую уязвимость. В условиях растущих технических возможностей доступные средства акустической разведки позволяют противнику перехватывать речевую информацию различными методами. К таким средствам относятся направленные микрофоны, электронные стетоскопы, вибрационные съёмники и лазерные микрофоны, которые обеспечивают съём информации как по акустическим, так и по </w:t>
      </w:r>
      <w:proofErr w:type="spellStart"/>
      <w:r>
        <w:t>виброакустическим</w:t>
      </w:r>
      <w:proofErr w:type="spellEnd"/>
      <w:r>
        <w:t xml:space="preserve"> каналам.</w:t>
      </w:r>
    </w:p>
    <w:p w:rsidR="00BE14B3" w:rsidRDefault="00BE14B3" w:rsidP="00BE14B3">
      <w:pPr>
        <w:pStyle w:val="a9"/>
      </w:pPr>
      <w:r>
        <w:t xml:space="preserve">Эффективная защита речевой информации требует комплексного подхода, включающего архитектурные решения, организационные меры и применение технических средств защиты. </w:t>
      </w:r>
      <w:proofErr w:type="spellStart"/>
      <w:r>
        <w:t>Виброакустическая</w:t>
      </w:r>
      <w:proofErr w:type="spellEnd"/>
      <w:r>
        <w:t xml:space="preserve"> защита играет ключевую роль, особенно в условиях, когда прямой акустический перехват затруднён. Прибор ST-031P “ПИРАНЬЯ” и система “СОНАТА-АВ” представляют собой современное оборудование для обнаружения и блокирования несанкционированного съема информации. Настоящая лабораторная работа направлена на практическое изучение возможностей этих устройств в области </w:t>
      </w:r>
      <w:proofErr w:type="spellStart"/>
      <w:r>
        <w:t>виброакустического</w:t>
      </w:r>
      <w:proofErr w:type="spellEnd"/>
      <w:r>
        <w:t xml:space="preserve"> анализа и зашумления.</w:t>
      </w:r>
    </w:p>
    <w:p w:rsidR="00BE14B3" w:rsidRPr="00BE14B3" w:rsidRDefault="00BE14B3" w:rsidP="00BE14B3">
      <w:pPr>
        <w:pStyle w:val="a9"/>
      </w:pPr>
    </w:p>
    <w:p w:rsidR="0008401A" w:rsidRDefault="009524CB" w:rsidP="00B32F9D">
      <w:pPr>
        <w:pStyle w:val="1"/>
      </w:pPr>
      <w:bookmarkStart w:id="8" w:name="_Toc181045975"/>
      <w:r>
        <w:lastRenderedPageBreak/>
        <w:t>ПРактическая часть</w:t>
      </w:r>
      <w:bookmarkEnd w:id="8"/>
      <w:r w:rsidR="00FA5F61">
        <w:t xml:space="preserve"> </w:t>
      </w:r>
    </w:p>
    <w:p w:rsidR="009524CB" w:rsidRDefault="009524CB" w:rsidP="009524CB">
      <w:pPr>
        <w:pStyle w:val="a9"/>
        <w:rPr>
          <w:rFonts w:ascii="Times New Roman" w:hAnsi="Times New Roman"/>
        </w:rPr>
      </w:pPr>
      <w:r>
        <w:t xml:space="preserve">В ходе выполнения лабораторной работы я исследовал амплитудно-частотные характеристики (АЧХ) </w:t>
      </w:r>
      <w:proofErr w:type="spellStart"/>
      <w:r>
        <w:t>виброакустического</w:t>
      </w:r>
      <w:proofErr w:type="spellEnd"/>
      <w:r>
        <w:t xml:space="preserve"> сигнала при использовании системы акустической защиты "СОНАТА-АВ" в двух режимах: с выключенным и включенным генераторным блоком зашумления.</w:t>
      </w:r>
    </w:p>
    <w:p w:rsidR="009524CB" w:rsidRPr="009524CB" w:rsidRDefault="009524CB" w:rsidP="009524CB">
      <w:pPr>
        <w:pStyle w:val="2"/>
        <w:rPr>
          <w:rStyle w:val="aff8"/>
          <w:b/>
          <w:bCs w:val="0"/>
        </w:rPr>
      </w:pPr>
      <w:bookmarkStart w:id="9" w:name="_Toc181045976"/>
      <w:r w:rsidRPr="009524CB">
        <w:rPr>
          <w:rStyle w:val="aff8"/>
          <w:b/>
          <w:bCs w:val="0"/>
        </w:rPr>
        <w:t>Измерение АЧХ без включенного зашумления</w:t>
      </w:r>
      <w:bookmarkEnd w:id="9"/>
    </w:p>
    <w:p w:rsidR="009524CB" w:rsidRDefault="009524CB" w:rsidP="009524CB">
      <w:pPr>
        <w:pStyle w:val="a9"/>
      </w:pPr>
      <w:r>
        <w:t xml:space="preserve">Для начала работы я включил генератор низкой частоты Г3-56 и подключил к нему </w:t>
      </w:r>
      <w:proofErr w:type="spellStart"/>
      <w:r>
        <w:t>виброакустический</w:t>
      </w:r>
      <w:proofErr w:type="spellEnd"/>
      <w:r>
        <w:t xml:space="preserve"> излучатель, настроив частоту генерации на 300 Гц и уровень выходного сигнала на 10 В. Прибор ST-031P был настроен в режиме осциллографа, и его </w:t>
      </w:r>
      <w:proofErr w:type="spellStart"/>
      <w:r>
        <w:t>виброакустический</w:t>
      </w:r>
      <w:proofErr w:type="spellEnd"/>
      <w:r>
        <w:t xml:space="preserve"> датчик был закреплен на боковой поверхности конструкции рядом с излучателем. После этого я настроил максимальный уровень сигнала на генераторе, избегая </w:t>
      </w:r>
      <w:proofErr w:type="spellStart"/>
      <w:r>
        <w:t>клиппирования</w:t>
      </w:r>
      <w:proofErr w:type="spellEnd"/>
      <w:r>
        <w:t xml:space="preserve"> сигнала.</w:t>
      </w:r>
    </w:p>
    <w:p w:rsidR="009524CB" w:rsidRDefault="009524CB" w:rsidP="009524CB">
      <w:pPr>
        <w:pStyle w:val="a9"/>
      </w:pPr>
      <w:r>
        <w:t xml:space="preserve">Изменяя частоту от 300 до </w:t>
      </w:r>
      <w:r>
        <w:t>4130</w:t>
      </w:r>
      <w:r>
        <w:t xml:space="preserve"> Гц, я убедился в отсутствии </w:t>
      </w:r>
      <w:proofErr w:type="spellStart"/>
      <w:r>
        <w:t>клиппирования</w:t>
      </w:r>
      <w:proofErr w:type="spellEnd"/>
      <w:r>
        <w:t xml:space="preserve"> на всем диапазоне. На частоте 300 Гц были записаны начальные показания амплитуды сигнала, затем, изменяя частоту с шагом, рекомендованным преподавателем, я заносил данные амплитудных значений в таблицу и построил график по результатам измерений</w:t>
      </w:r>
      <w:r>
        <w:t xml:space="preserve"> (рисунок 1)</w:t>
      </w:r>
      <w:r>
        <w:t>. Затем повторил измерения с датчиком на максимальном удалении от излучателя, чтобы построить зависимость ослабления сигнала по расстоянию.</w:t>
      </w:r>
    </w:p>
    <w:p w:rsidR="009524CB" w:rsidRDefault="009524CB" w:rsidP="009524CB">
      <w:pPr>
        <w:pStyle w:val="af0"/>
      </w:pPr>
      <w:r w:rsidRPr="009524CB">
        <w:lastRenderedPageBreak/>
        <w:drawing>
          <wp:inline distT="0" distB="0" distL="0" distR="0" wp14:anchorId="319EDAE3" wp14:editId="220C280B">
            <wp:extent cx="4139059" cy="254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915" cy="25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CB" w:rsidRPr="009524CB" w:rsidRDefault="009524CB" w:rsidP="009524CB">
      <w:pPr>
        <w:pStyle w:val="a0"/>
        <w:rPr>
          <w:lang w:eastAsia="ru-RU"/>
        </w:rPr>
      </w:pPr>
      <w:r>
        <w:rPr>
          <w:lang w:eastAsia="ru-RU"/>
        </w:rPr>
        <w:t xml:space="preserve"> — Результат измерений</w:t>
      </w:r>
    </w:p>
    <w:p w:rsidR="009524CB" w:rsidRPr="009524CB" w:rsidRDefault="009524CB" w:rsidP="009524CB">
      <w:pPr>
        <w:pStyle w:val="2"/>
        <w:rPr>
          <w:rStyle w:val="aff8"/>
          <w:b/>
          <w:bCs w:val="0"/>
        </w:rPr>
      </w:pPr>
      <w:bookmarkStart w:id="10" w:name="_Toc181045977"/>
      <w:r w:rsidRPr="009524CB">
        <w:rPr>
          <w:rStyle w:val="aff8"/>
          <w:b/>
          <w:bCs w:val="0"/>
        </w:rPr>
        <w:t>Измерение АЧХ при включенном зашумлении "СОНАТА-АВ"</w:t>
      </w:r>
      <w:bookmarkEnd w:id="10"/>
    </w:p>
    <w:p w:rsidR="009524CB" w:rsidRPr="009524CB" w:rsidRDefault="009524CB" w:rsidP="009524CB">
      <w:pPr>
        <w:pStyle w:val="a9"/>
      </w:pPr>
      <w:r w:rsidRPr="009524CB">
        <w:t xml:space="preserve">Далее я активировал генераторный блок "СОНАТА-АВ" в режиме "Б", установив минимальный уровень генерируемого сигнала. При этом излучатель был размещён между двумя другими излучателями, работающими в режиме </w:t>
      </w:r>
      <w:proofErr w:type="spellStart"/>
      <w:r w:rsidRPr="009524CB">
        <w:t>виброакустического</w:t>
      </w:r>
      <w:proofErr w:type="spellEnd"/>
      <w:r w:rsidRPr="009524CB">
        <w:t xml:space="preserve"> зашумления. Повторив процедуру измерений и записав результаты в таблицу, я оценил влияние зашумления на характеристики сигнала</w:t>
      </w:r>
      <w:r>
        <w:t xml:space="preserve"> (рисунок 2)</w:t>
      </w:r>
      <w:r w:rsidRPr="009524CB">
        <w:t>.</w:t>
      </w:r>
    </w:p>
    <w:p w:rsidR="009524CB" w:rsidRDefault="009524CB" w:rsidP="009524CB">
      <w:pPr>
        <w:pStyle w:val="af0"/>
      </w:pPr>
      <w:r w:rsidRPr="009524CB">
        <w:drawing>
          <wp:inline distT="0" distB="0" distL="0" distR="0" wp14:anchorId="422ED2C3" wp14:editId="087FC9D6">
            <wp:extent cx="3990975" cy="24623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232" cy="24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CB" w:rsidRPr="009524CB" w:rsidRDefault="009524CB" w:rsidP="009524CB">
      <w:pPr>
        <w:pStyle w:val="a0"/>
        <w:rPr>
          <w:lang w:eastAsia="ru-RU"/>
        </w:rPr>
      </w:pPr>
      <w:r>
        <w:rPr>
          <w:lang w:eastAsia="ru-RU"/>
        </w:rPr>
        <w:t xml:space="preserve"> — Результат повторных измерений</w:t>
      </w:r>
    </w:p>
    <w:p w:rsidR="00282281" w:rsidRDefault="009524CB" w:rsidP="00B32F9D">
      <w:pPr>
        <w:pStyle w:val="1"/>
      </w:pPr>
      <w:bookmarkStart w:id="11" w:name="_Toc181045978"/>
      <w:r>
        <w:lastRenderedPageBreak/>
        <w:t>КОнтрольные вопросы</w:t>
      </w:r>
      <w:bookmarkEnd w:id="11"/>
    </w:p>
    <w:p w:rsidR="00975FBF" w:rsidRDefault="00975FBF" w:rsidP="00975FBF">
      <w:pPr>
        <w:pStyle w:val="2"/>
      </w:pPr>
      <w:bookmarkStart w:id="12" w:name="_Toc181045979"/>
      <w:r>
        <w:t>Специфические о</w:t>
      </w:r>
      <w:r>
        <w:t>собенности речевой информации</w:t>
      </w:r>
      <w:bookmarkEnd w:id="12"/>
      <w:r>
        <w:t xml:space="preserve"> </w:t>
      </w:r>
    </w:p>
    <w:p w:rsidR="00975FBF" w:rsidRDefault="00975FBF" w:rsidP="00975FBF">
      <w:pPr>
        <w:pStyle w:val="a9"/>
      </w:pPr>
      <w:r>
        <w:t xml:space="preserve">   Конфиденциальность, оперативность, виртуальность, позволяющая анализировать эмоциональное состоян</w:t>
      </w:r>
      <w:r>
        <w:t>ие и идентифицировать личность.</w:t>
      </w:r>
    </w:p>
    <w:p w:rsidR="00975FBF" w:rsidRDefault="00975FBF" w:rsidP="00975FBF">
      <w:pPr>
        <w:pStyle w:val="2"/>
      </w:pPr>
      <w:bookmarkStart w:id="13" w:name="_Toc181045980"/>
      <w:r>
        <w:t>Определение и особенности акустических каналов утечки</w:t>
      </w:r>
      <w:bookmarkEnd w:id="13"/>
      <w:r>
        <w:t xml:space="preserve">  </w:t>
      </w:r>
    </w:p>
    <w:p w:rsidR="00975FBF" w:rsidRDefault="00975FBF" w:rsidP="00975FBF">
      <w:pPr>
        <w:pStyle w:val="a9"/>
      </w:pPr>
      <w:r>
        <w:t xml:space="preserve">   Каналы, через которые возможен несанкционированный съем информации через воздуховоды, стены, окна. Они характеризуются простотой использо</w:t>
      </w:r>
      <w:r>
        <w:t>вания и высокой эффективностью.</w:t>
      </w:r>
    </w:p>
    <w:p w:rsidR="00975FBF" w:rsidRDefault="00975FBF" w:rsidP="00975FBF">
      <w:pPr>
        <w:pStyle w:val="2"/>
      </w:pPr>
      <w:bookmarkStart w:id="14" w:name="_Toc181045981"/>
      <w:r>
        <w:t>Основные акустические параметры и уровни речевых сигналов</w:t>
      </w:r>
      <w:bookmarkEnd w:id="14"/>
      <w:r>
        <w:t xml:space="preserve"> </w:t>
      </w:r>
    </w:p>
    <w:p w:rsidR="00975FBF" w:rsidRDefault="00975FBF" w:rsidP="00975FBF">
      <w:pPr>
        <w:pStyle w:val="a9"/>
      </w:pPr>
      <w:r>
        <w:t xml:space="preserve">   Частота, интенсивность, амплитуда и спектральные характеристики, которые определяют р</w:t>
      </w:r>
      <w:r>
        <w:t>азборчивость и энергию сигнала.</w:t>
      </w:r>
    </w:p>
    <w:p w:rsidR="00975FBF" w:rsidRDefault="00975FBF" w:rsidP="00975FBF">
      <w:pPr>
        <w:pStyle w:val="2"/>
      </w:pPr>
      <w:bookmarkStart w:id="15" w:name="_Toc181045982"/>
      <w:r>
        <w:t>Словесная, слоговая и ф</w:t>
      </w:r>
      <w:r>
        <w:t>ормантная разборчивость речи</w:t>
      </w:r>
      <w:bookmarkEnd w:id="15"/>
    </w:p>
    <w:p w:rsidR="00975FBF" w:rsidRDefault="00975FBF" w:rsidP="008F5F4B">
      <w:pPr>
        <w:pStyle w:val="a9"/>
      </w:pPr>
      <w:r>
        <w:t xml:space="preserve">   Словесная разборчивость — способность различать слова, слоговая — различение слогов, формантная — определение частотных формант речи, все они важны для об</w:t>
      </w:r>
      <w:r w:rsidR="008F5F4B">
        <w:t>ъективной оценки разборчивости.</w:t>
      </w:r>
    </w:p>
    <w:p w:rsidR="00975FBF" w:rsidRDefault="00975FBF" w:rsidP="00975FBF">
      <w:pPr>
        <w:pStyle w:val="2"/>
      </w:pPr>
      <w:bookmarkStart w:id="16" w:name="_Toc181045983"/>
      <w:r>
        <w:t xml:space="preserve">Распространение </w:t>
      </w:r>
      <w:proofErr w:type="spellStart"/>
      <w:r>
        <w:t>виброакустиче</w:t>
      </w:r>
      <w:r>
        <w:t>ских</w:t>
      </w:r>
      <w:proofErr w:type="spellEnd"/>
      <w:r>
        <w:t xml:space="preserve"> колебаний и коэффициенты</w:t>
      </w:r>
      <w:bookmarkEnd w:id="16"/>
      <w:r>
        <w:t xml:space="preserve"> </w:t>
      </w:r>
    </w:p>
    <w:p w:rsidR="00975FBF" w:rsidRDefault="00975FBF" w:rsidP="008F5F4B">
      <w:pPr>
        <w:pStyle w:val="a9"/>
      </w:pPr>
      <w:r>
        <w:t xml:space="preserve">   </w:t>
      </w:r>
      <w:proofErr w:type="spellStart"/>
      <w:r>
        <w:t>Виброакустические</w:t>
      </w:r>
      <w:proofErr w:type="spellEnd"/>
      <w:r>
        <w:t xml:space="preserve"> колебания распространяются по конструкциям, завися от массы (закон массы). Коэффициенты: поглощения — доля энергии, поглощенная материалом; отражения — доля отраженной энергии; звукопроницаемости — способность материала пропускать звук; звукоизоляции — ег</w:t>
      </w:r>
      <w:r w:rsidR="008F5F4B">
        <w:t>о способность блокировать звук.</w:t>
      </w:r>
    </w:p>
    <w:p w:rsidR="00975FBF" w:rsidRDefault="00975FBF" w:rsidP="00975FBF">
      <w:pPr>
        <w:pStyle w:val="2"/>
      </w:pPr>
      <w:bookmarkStart w:id="17" w:name="_Toc181045984"/>
      <w:r>
        <w:lastRenderedPageBreak/>
        <w:t>Несанкционированный съем и сте</w:t>
      </w:r>
      <w:r>
        <w:t>пени защиты речевой информации</w:t>
      </w:r>
      <w:bookmarkEnd w:id="17"/>
      <w:r>
        <w:t xml:space="preserve">  </w:t>
      </w:r>
    </w:p>
    <w:p w:rsidR="00975FBF" w:rsidRDefault="00975FBF" w:rsidP="00975FBF">
      <w:pPr>
        <w:pStyle w:val="a9"/>
      </w:pPr>
      <w:r>
        <w:t xml:space="preserve">   </w:t>
      </w:r>
      <w:r w:rsidR="001623C7">
        <w:t xml:space="preserve">Несанкционированный съем речевой информации может происходить через уязвимые участки в ограждающих конструкциях, воздуховоды, инженерные коммуникации и элементы, пропускающие </w:t>
      </w:r>
      <w:proofErr w:type="spellStart"/>
      <w:r w:rsidR="001623C7">
        <w:t>виброакустические</w:t>
      </w:r>
      <w:proofErr w:type="spellEnd"/>
      <w:r w:rsidR="001623C7">
        <w:t xml:space="preserve"> сигналы. Степень защиты речевой информации определяется уровнем звукоизоляции, использованием </w:t>
      </w:r>
      <w:proofErr w:type="spellStart"/>
      <w:r w:rsidR="001623C7">
        <w:t>виброакустического</w:t>
      </w:r>
      <w:proofErr w:type="spellEnd"/>
      <w:r w:rsidR="001623C7">
        <w:t xml:space="preserve"> зашумления и мерами по экранированию, снижению смысловой разборчивости речи. Обеспечение безопасности информации достигается с помощью как архитектурных, так и технических средств, включая создание «герметичных» помещений, виброизоляцию конструкций и системы активного подавления звуковых колебаний.</w:t>
      </w:r>
    </w:p>
    <w:p w:rsidR="00975FBF" w:rsidRDefault="00975FBF" w:rsidP="00975FBF">
      <w:pPr>
        <w:pStyle w:val="2"/>
      </w:pPr>
      <w:bookmarkStart w:id="18" w:name="_Toc181045985"/>
      <w:r>
        <w:t>Методы защиты от несанкционированного доступа к акустической информации</w:t>
      </w:r>
      <w:bookmarkEnd w:id="18"/>
      <w:r>
        <w:t xml:space="preserve"> </w:t>
      </w:r>
    </w:p>
    <w:p w:rsidR="00975FBF" w:rsidRDefault="00975FBF" w:rsidP="001623C7">
      <w:pPr>
        <w:pStyle w:val="a9"/>
      </w:pPr>
      <w:r>
        <w:t xml:space="preserve">   </w:t>
      </w:r>
      <w:r w:rsidR="001623C7">
        <w:t xml:space="preserve">Методы защиты включают проектные и архитектурные решения, такие как установка шумоизолирующих материалов, минимизация воздушных и вибрационных каналов утечки информации, а также технологические решения: звукоизоляция, </w:t>
      </w:r>
      <w:proofErr w:type="spellStart"/>
      <w:r w:rsidR="001623C7">
        <w:t>виброакустическое</w:t>
      </w:r>
      <w:proofErr w:type="spellEnd"/>
      <w:r w:rsidR="001623C7">
        <w:t xml:space="preserve"> зашумление и экранирование с использованием специализированных приборов (например, устройств типа «СОНАТА» для активного шумоподавления). Применяются системы динамического контроля защищенности помещений и активные шумовые генераторы для подавления речевых сигналов, особенно при усиленных требованиях к конфиденциальности.</w:t>
      </w:r>
    </w:p>
    <w:p w:rsidR="00975FBF" w:rsidRDefault="00975FBF" w:rsidP="001623C7">
      <w:pPr>
        <w:pStyle w:val="2"/>
      </w:pPr>
      <w:bookmarkStart w:id="19" w:name="_Toc181045986"/>
      <w:r>
        <w:t>Степени защиты и смысловая разборчивость</w:t>
      </w:r>
      <w:bookmarkEnd w:id="19"/>
      <w:r>
        <w:t xml:space="preserve"> </w:t>
      </w:r>
    </w:p>
    <w:p w:rsidR="00975FBF" w:rsidRDefault="00975FBF" w:rsidP="008F5F4B">
      <w:pPr>
        <w:pStyle w:val="a9"/>
      </w:pPr>
      <w:r>
        <w:t xml:space="preserve">   </w:t>
      </w:r>
      <w:r w:rsidR="001623C7">
        <w:t xml:space="preserve">Степень защиты определяется показателем смысловой разборчивости речевой информации: чем ниже разборчивость, тем выше уровень защиты. Чтобы снизить разборчивость речи, применяют акустические экраны, усиливают звукоизоляцию, используют </w:t>
      </w:r>
      <w:proofErr w:type="spellStart"/>
      <w:r w:rsidR="001623C7">
        <w:t>виброакустическое</w:t>
      </w:r>
      <w:proofErr w:type="spellEnd"/>
      <w:r w:rsidR="001623C7">
        <w:t xml:space="preserve"> зашумление и звуковое маскирова</w:t>
      </w:r>
      <w:r w:rsidR="001623C7">
        <w:lastRenderedPageBreak/>
        <w:t>ние. Максимальная степень защиты достигается при многослойных звукоизолирующих конструкциях и непрерывной генерации белого шума или других шумовых помех, что делает речь неразборчивой для прослушивающих устройств.</w:t>
      </w:r>
    </w:p>
    <w:p w:rsidR="00975FBF" w:rsidRDefault="00975FBF" w:rsidP="001623C7">
      <w:pPr>
        <w:pStyle w:val="2"/>
      </w:pPr>
      <w:bookmarkStart w:id="20" w:name="_Toc181045987"/>
      <w:r>
        <w:t>Оперативная оценка качества звукоизоляции</w:t>
      </w:r>
      <w:bookmarkEnd w:id="20"/>
      <w:r>
        <w:t xml:space="preserve"> </w:t>
      </w:r>
    </w:p>
    <w:p w:rsidR="00975FBF" w:rsidRPr="00975FBF" w:rsidRDefault="00975FBF" w:rsidP="00975FBF">
      <w:pPr>
        <w:pStyle w:val="a9"/>
      </w:pPr>
      <w:r>
        <w:t xml:space="preserve">   </w:t>
      </w:r>
      <w:r w:rsidR="001623C7">
        <w:t xml:space="preserve">Качество звукоизоляции оперативно оценивается путем измерения уровней звукового давления на различных частотах внутри и снаружи защищаемого помещения. Замеры проводят с использованием </w:t>
      </w:r>
      <w:proofErr w:type="spellStart"/>
      <w:r w:rsidR="001623C7">
        <w:t>шумомеров</w:t>
      </w:r>
      <w:proofErr w:type="spellEnd"/>
      <w:r w:rsidR="001623C7">
        <w:t xml:space="preserve"> и анализаторов спектра. Основные показатели — коэффициенты звукоизоляции ограждающих конструкций, которые проверяются в диапазоне частот, типичных для человеческой речи. Эти измерения помогают быстро определить потенциальные каналы утечки и оценить необходимость дополнительных мер для усиления защиты.</w:t>
      </w:r>
    </w:p>
    <w:p w:rsidR="00282281" w:rsidRDefault="00282281" w:rsidP="00282281">
      <w:pPr>
        <w:pStyle w:val="ad"/>
        <w:rPr>
          <w:rStyle w:val="af"/>
          <w:noProof/>
          <w:vanish w:val="0"/>
        </w:rPr>
      </w:pPr>
      <w:bookmarkStart w:id="21" w:name="_Toc177496519"/>
      <w:bookmarkStart w:id="22" w:name="_Toc177497011"/>
      <w:bookmarkStart w:id="23" w:name="_Toc177497062"/>
      <w:bookmarkStart w:id="24" w:name="_Toc181045988"/>
      <w:r>
        <w:rPr>
          <w:rStyle w:val="af"/>
          <w:noProof/>
          <w:vanish w:val="0"/>
        </w:rPr>
        <w:lastRenderedPageBreak/>
        <w:t>Заключение</w:t>
      </w:r>
      <w:bookmarkEnd w:id="21"/>
      <w:bookmarkEnd w:id="22"/>
      <w:bookmarkEnd w:id="23"/>
      <w:bookmarkEnd w:id="24"/>
    </w:p>
    <w:p w:rsidR="001623C7" w:rsidRDefault="001623C7" w:rsidP="001623C7">
      <w:pPr>
        <w:pStyle w:val="a9"/>
      </w:pPr>
      <w:r>
        <w:t xml:space="preserve">В ходе лабораторной работы были изучены возможности многоцелевого поискового прибора ST-031P «ПИРАНЬЯ» в режиме </w:t>
      </w:r>
      <w:proofErr w:type="spellStart"/>
      <w:r>
        <w:t>виброакустического</w:t>
      </w:r>
      <w:proofErr w:type="spellEnd"/>
      <w:r>
        <w:t xml:space="preserve"> анализа и системы защиты «СОНАТА-АВ» в режиме </w:t>
      </w:r>
      <w:proofErr w:type="spellStart"/>
      <w:r>
        <w:t>виброакустического</w:t>
      </w:r>
      <w:proofErr w:type="spellEnd"/>
      <w:r>
        <w:t xml:space="preserve"> зашумления. Проведённые эксперименты позволили оценить эффективность этих устройств в обнаружении потенциальных каналов утечки конфиденциальной информации и в и</w:t>
      </w:r>
      <w:r>
        <w:t xml:space="preserve">х блокировке путём зашумления. </w:t>
      </w:r>
    </w:p>
    <w:p w:rsidR="00C1647C" w:rsidRPr="008F58F4" w:rsidRDefault="001623C7" w:rsidP="001623C7">
      <w:pPr>
        <w:pStyle w:val="a9"/>
      </w:pPr>
      <w:r>
        <w:t xml:space="preserve">Исследования подтвердили, что речевая информация, имеющая уникальные особенности, требует надежной защиты, особенно при наличии высокочувствительных средств акустического перехвата. Использование средств </w:t>
      </w:r>
      <w:proofErr w:type="spellStart"/>
      <w:r>
        <w:t>виброакустического</w:t>
      </w:r>
      <w:proofErr w:type="spellEnd"/>
      <w:r>
        <w:t xml:space="preserve"> зашумления, таких как «СОНАТА-АВ», значительно снижает вероятность перехвата речевой информации, обеспечивая более высокий уровень информационной безопасности.</w:t>
      </w:r>
    </w:p>
    <w:sectPr w:rsidR="00C1647C" w:rsidRPr="008F58F4" w:rsidSect="001A553F">
      <w:footerReference w:type="default" r:id="rId14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1C0" w:rsidRDefault="003241C0" w:rsidP="007A022D">
      <w:r>
        <w:separator/>
      </w:r>
    </w:p>
  </w:endnote>
  <w:endnote w:type="continuationSeparator" w:id="0">
    <w:p w:rsidR="003241C0" w:rsidRDefault="003241C0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F7" w:rsidRDefault="00C417F7" w:rsidP="004F5D1C">
    <w:pPr>
      <w:pStyle w:val="af6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8F5F4B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1C0" w:rsidRDefault="003241C0" w:rsidP="007A022D">
      <w:r>
        <w:separator/>
      </w:r>
    </w:p>
  </w:footnote>
  <w:footnote w:type="continuationSeparator" w:id="0">
    <w:p w:rsidR="003241C0" w:rsidRDefault="003241C0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72219BD"/>
    <w:multiLevelType w:val="multilevel"/>
    <w:tmpl w:val="3FCA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C7446"/>
    <w:multiLevelType w:val="multilevel"/>
    <w:tmpl w:val="6CE28B30"/>
    <w:numStyleLink w:val="a"/>
  </w:abstractNum>
  <w:abstractNum w:abstractNumId="10" w15:restartNumberingAfterBreak="0">
    <w:nsid w:val="32AA658E"/>
    <w:multiLevelType w:val="multilevel"/>
    <w:tmpl w:val="B29CA7AE"/>
    <w:name w:val="Equations2"/>
    <w:numStyleLink w:val="a2"/>
  </w:abstractNum>
  <w:abstractNum w:abstractNumId="11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B5B18CE"/>
    <w:multiLevelType w:val="multilevel"/>
    <w:tmpl w:val="4B4C2E20"/>
    <w:numStyleLink w:val="a3"/>
  </w:abstractNum>
  <w:num w:numId="1">
    <w:abstractNumId w:val="11"/>
  </w:num>
  <w:num w:numId="2">
    <w:abstractNumId w:val="13"/>
  </w:num>
  <w:num w:numId="3">
    <w:abstractNumId w:val="6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0"/>
  </w:num>
  <w:num w:numId="9">
    <w:abstractNumId w:val="17"/>
  </w:num>
  <w:num w:numId="10">
    <w:abstractNumId w:val="9"/>
  </w:num>
  <w:num w:numId="11">
    <w:abstractNumId w:val="1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"/>
  </w:num>
  <w:num w:numId="1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6E"/>
    <w:rsid w:val="0001699C"/>
    <w:rsid w:val="000346A0"/>
    <w:rsid w:val="000415BD"/>
    <w:rsid w:val="000669A0"/>
    <w:rsid w:val="0008398A"/>
    <w:rsid w:val="0008401A"/>
    <w:rsid w:val="0008572F"/>
    <w:rsid w:val="0009003E"/>
    <w:rsid w:val="000F0A3B"/>
    <w:rsid w:val="0012761C"/>
    <w:rsid w:val="001350A9"/>
    <w:rsid w:val="001547D9"/>
    <w:rsid w:val="00160A3D"/>
    <w:rsid w:val="001623C7"/>
    <w:rsid w:val="001721A6"/>
    <w:rsid w:val="0017381A"/>
    <w:rsid w:val="0019653F"/>
    <w:rsid w:val="001A553F"/>
    <w:rsid w:val="001A7AD9"/>
    <w:rsid w:val="001E5331"/>
    <w:rsid w:val="002004D4"/>
    <w:rsid w:val="00204223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241C0"/>
    <w:rsid w:val="00334712"/>
    <w:rsid w:val="003531D9"/>
    <w:rsid w:val="003B32DB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544B"/>
    <w:rsid w:val="004B61EC"/>
    <w:rsid w:val="004C563B"/>
    <w:rsid w:val="004F5D1C"/>
    <w:rsid w:val="00512535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13FF"/>
    <w:rsid w:val="00627BE1"/>
    <w:rsid w:val="0063520F"/>
    <w:rsid w:val="0065533D"/>
    <w:rsid w:val="00685116"/>
    <w:rsid w:val="0068656D"/>
    <w:rsid w:val="00694AB5"/>
    <w:rsid w:val="006A3AFC"/>
    <w:rsid w:val="006B5E72"/>
    <w:rsid w:val="006C123A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E6A70"/>
    <w:rsid w:val="0083482F"/>
    <w:rsid w:val="00835DB0"/>
    <w:rsid w:val="00840A0C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8F5F4B"/>
    <w:rsid w:val="00912832"/>
    <w:rsid w:val="00921087"/>
    <w:rsid w:val="00945A48"/>
    <w:rsid w:val="009524CB"/>
    <w:rsid w:val="00952664"/>
    <w:rsid w:val="0095666E"/>
    <w:rsid w:val="00971679"/>
    <w:rsid w:val="00975FBF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C60"/>
    <w:rsid w:val="00B32F9D"/>
    <w:rsid w:val="00B3610B"/>
    <w:rsid w:val="00B87E6A"/>
    <w:rsid w:val="00B937AE"/>
    <w:rsid w:val="00B948FE"/>
    <w:rsid w:val="00BA7CCC"/>
    <w:rsid w:val="00BD042B"/>
    <w:rsid w:val="00BE14B3"/>
    <w:rsid w:val="00C1647C"/>
    <w:rsid w:val="00C17721"/>
    <w:rsid w:val="00C417F7"/>
    <w:rsid w:val="00C63863"/>
    <w:rsid w:val="00C87FA7"/>
    <w:rsid w:val="00CA4F5D"/>
    <w:rsid w:val="00CA54A7"/>
    <w:rsid w:val="00CD2B71"/>
    <w:rsid w:val="00CE1AA7"/>
    <w:rsid w:val="00CF43C3"/>
    <w:rsid w:val="00D46816"/>
    <w:rsid w:val="00D7047F"/>
    <w:rsid w:val="00D81843"/>
    <w:rsid w:val="00D91718"/>
    <w:rsid w:val="00D9364C"/>
    <w:rsid w:val="00E108D7"/>
    <w:rsid w:val="00E25341"/>
    <w:rsid w:val="00E25A81"/>
    <w:rsid w:val="00E30D9D"/>
    <w:rsid w:val="00E44026"/>
    <w:rsid w:val="00E55A61"/>
    <w:rsid w:val="00E66007"/>
    <w:rsid w:val="00E8271E"/>
    <w:rsid w:val="00EA5F91"/>
    <w:rsid w:val="00EC2D4D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CEF00"/>
  <w15:chartTrackingRefBased/>
  <w15:docId w15:val="{322372CF-9769-4D8A-B32E-8E2F6E1C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BE14B3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BE14B3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4.xml><?xml version="1.0" encoding="utf-8"?>
<ds:datastoreItem xmlns:ds="http://schemas.openxmlformats.org/officeDocument/2006/customXml" ds:itemID="{EDAB1D01-3AE5-4794-B215-A629769BA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192</TotalTime>
  <Pages>9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cp:lastPrinted>2024-09-26T06:05:00Z</cp:lastPrinted>
  <dcterms:created xsi:type="dcterms:W3CDTF">2024-10-28T15:04:00Z</dcterms:created>
  <dcterms:modified xsi:type="dcterms:W3CDTF">2024-10-28T19:13:00Z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