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516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1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0066FF"/>
          <w:sz w:val="28"/>
        </w:rPr>
        <w:t>Founder’s Office — Weekly Operations Note</w:t>
      </w:r>
    </w:p>
    <w:p>
      <w:pPr>
        <w:spacing w:after="240"/>
        <w:jc w:val="center"/>
      </w:pPr>
      <w:r>
        <w:rPr>
          <w:color w:val="666666"/>
          <w:sz w:val="19"/>
        </w:rPr>
        <w:t>Workflow SOP, Failure Modes, and Human Guardrails | Date: Friday, 23 October 2026</w:t>
      </w:r>
    </w:p>
    <w:p>
      <w:pPr>
        <w:pStyle w:val="Heading2"/>
      </w:pPr>
      <w:r>
        <w:t>1. Weekly Process at EDXSO</w:t>
      </w:r>
    </w:p>
    <w:p>
      <w:r>
        <w:t>To ensure founder meeting commitments turn into finished work without slipping, this workflow follows a five-step weekly cycle:</w:t>
        <w:br/>
        <w:t>1. Collect Meeting Notes &amp; Previous Tracker: Immediately after the Thursday founders sync, gather the raw notes along with the previous week's central tracker.</w:t>
        <w:br/>
        <w:t>2. Paste into Claude with Master Prompt: Run the raw notes through the saved master prompt in Claude to extract structured tasks, relative dates, and missing information.</w:t>
        <w:br/>
        <w:t>3. Review Generated Outputs: Cross-check every extracted item against the meeting notes. Ensure unassigned owners are labeled as Unassigned and missing dates are marked TBD.</w:t>
        <w:br/>
        <w:t>4. Update the Shared Spreadsheet: Transfer the validated action rows into the master Excel or Google Sheet, updating task statuses and logging pending decisions.</w:t>
        <w:br/>
        <w:t>5. Secure Approvals &amp; Dispatch: Share the one-page founder brief and drafts on internal chat. Once founders confirm decisions and approve drafts, dispatch external communications to schools and vendors.</w:t>
      </w:r>
    </w:p>
    <w:p>
      <w:pPr>
        <w:pStyle w:val="Heading2"/>
      </w:pPr>
      <w:r>
        <w:t>2. What Could Go Wrong (AI Risks) &amp; How to Catch Them</w:t>
      </w:r>
    </w:p>
    <w:p>
      <w:r>
        <w:t>AI is a processing assistant, not an autonomous operator. The main operational risks are:</w:t>
        <w:br/>
        <w:t>• Incorrect Date Calculations: AI might misinterpret relative deadlines (e.g., 'next Friday' or holiday periods like Diwali). A human must anchor dates using a specific reference calendar.</w:t>
        <w:br/>
        <w:t>• Invented Owners or Details: Language models tend to fill gaps with plausible guesses. The prompt strictly instructs Claude to output 'Unassigned' or 'TBD', and the intern checks each line.</w:t>
        <w:br/>
        <w:t>• Missing Business Context: AI lacks historical memory of school relationships or informal founder conversations. Human review ensures tone and nuance match past interactions.</w:t>
        <w:br/>
        <w:t>• Outdated Tracker Entries: AI cannot check whether a task was completed offline. The intern must verify real-world progress before updating task statuses.</w:t>
        <w:br/>
        <w:t>• Errors in External Messages: A poorly worded email can damage trust with school principals or vendors. All drafts require human review and founder approval before sending.</w:t>
      </w:r>
    </w:p>
    <w:p>
      <w:pPr>
        <w:pStyle w:val="Heading2"/>
      </w:pPr>
      <w:r>
        <w:t>3. What Must Never Be Left to AI Alone</w:t>
      </w:r>
    </w:p>
    <w:p>
      <w:r>
        <w:t>The following decisions carry financial, legal, or reputational consequences and must strictly remain human-owned:</w:t>
        <w:br/>
        <w:t>• Payment Approvals and Financial Commitments: Verifying invoice deliverables, releasing funds from company bank accounts, and committing to supplier contracts.</w:t>
        <w:br/>
        <w:t>• Legal Conclusions and DPDP Compliance: Assessing whether parental consent mechanisms comply with the Digital Personal Data Protection Act 2023 requires human legal review.</w:t>
        <w:br/>
        <w:t>• Safeguarding and Student Data: Evaluating minor protection policies or handling any personal data of students, parents, and teachers.</w:t>
        <w:br/>
        <w:t>• Final Business Decisions: Setting school pricing, altering commercial terms, or prioritizing strategic partner requests.</w:t>
      </w:r>
    </w:p>
    <w:p>
      <w:pPr>
        <w:pStyle w:val="Heading2"/>
      </w:pPr>
      <w:r>
        <w:t>4. Tools and Manual Checks</w:t>
      </w:r>
    </w:p>
    <w:p>
      <w:r>
        <w:t>• Tools Used: Claude is used for unstructured text extraction and initial drafting. Microsoft Excel / Google Sheets is used for maintaining the single operational tracker.</w:t>
        <w:br/>
        <w:t>• Manual Checks Required: Verify all dates against the school calendar, confirm invoice amounts and budget caps by hand, verify that unassigned owners are flagged, and ensure no unverified facts enter external messages.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