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8938" w14:textId="31376B37" w:rsidR="00181C3A" w:rsidRDefault="00181C3A" w:rsidP="00181C3A">
      <w:pPr>
        <w:ind w:left="360"/>
        <w:rPr>
          <w:b/>
          <w:bCs/>
        </w:rPr>
      </w:pPr>
      <w:r>
        <w:rPr>
          <w:b/>
          <w:bCs/>
        </w:rPr>
        <w:t>Tests-</w:t>
      </w:r>
    </w:p>
    <w:p w14:paraId="74960A73" w14:textId="77777777" w:rsidR="00181C3A" w:rsidRDefault="00181C3A" w:rsidP="00181C3A">
      <w:pPr>
        <w:ind w:left="360"/>
        <w:rPr>
          <w:b/>
          <w:bCs/>
        </w:rPr>
      </w:pPr>
    </w:p>
    <w:p w14:paraId="67739A73" w14:textId="7A1AE37C" w:rsidR="00181C3A" w:rsidRPr="00181C3A" w:rsidRDefault="00181C3A" w:rsidP="00181C3A">
      <w:pPr>
        <w:ind w:left="360"/>
      </w:pPr>
      <w:r w:rsidRPr="00181C3A">
        <w:t>Sanity check — recompute overall MAE, RMSE, RMSE/MAE ratio from the row-level data, confirm it matches your original ~2.4 ratio (makes sure we reloaded everything correctly).</w:t>
      </w:r>
    </w:p>
    <w:p w14:paraId="58F91F71" w14:textId="77777777" w:rsidR="00181C3A" w:rsidRPr="00181C3A" w:rsidRDefault="00181C3A" w:rsidP="00181C3A">
      <w:pPr>
        <w:numPr>
          <w:ilvl w:val="0"/>
          <w:numId w:val="2"/>
        </w:numPr>
      </w:pPr>
      <w:r w:rsidRPr="00181C3A">
        <w:t>Error concentration test — sort rows by squared error descending; compute what % of total squared error comes from the top 1%, 5%, and 10% of rows. This tells us how "outlier-driven" the RMSE inflation is.</w:t>
      </w:r>
    </w:p>
    <w:p w14:paraId="683820F1" w14:textId="77777777" w:rsidR="00181C3A" w:rsidRPr="00181C3A" w:rsidRDefault="00181C3A" w:rsidP="00181C3A">
      <w:pPr>
        <w:numPr>
          <w:ilvl w:val="0"/>
          <w:numId w:val="2"/>
        </w:numPr>
      </w:pPr>
      <w:r w:rsidRPr="00181C3A">
        <w:t>Promo vs non-promo breakdown — compare MAE/RMSE/ratio on onpromotion=True days vs False days.</w:t>
      </w:r>
    </w:p>
    <w:p w14:paraId="4C54B729" w14:textId="77777777" w:rsidR="00181C3A" w:rsidRPr="00181C3A" w:rsidRDefault="00181C3A" w:rsidP="00181C3A">
      <w:pPr>
        <w:numPr>
          <w:ilvl w:val="0"/>
          <w:numId w:val="2"/>
        </w:numPr>
      </w:pPr>
      <w:r w:rsidRPr="00181C3A">
        <w:t>Per-store breakdown — group by store_nbr, compute RMSE/MAE ratio per store, find which stores are worst.</w:t>
      </w:r>
    </w:p>
    <w:p w14:paraId="6903722A" w14:textId="77777777" w:rsidR="00181C3A" w:rsidRPr="00181C3A" w:rsidRDefault="00181C3A" w:rsidP="00181C3A">
      <w:pPr>
        <w:numPr>
          <w:ilvl w:val="0"/>
          <w:numId w:val="2"/>
        </w:numPr>
      </w:pPr>
      <w:r w:rsidRPr="00181C3A">
        <w:t>Per-item-family breakdown — same, grouped by item family/class.</w:t>
      </w:r>
    </w:p>
    <w:p w14:paraId="443FA008" w14:textId="77777777" w:rsidR="00181C3A" w:rsidRPr="00181C3A" w:rsidRDefault="00181C3A" w:rsidP="00181C3A">
      <w:pPr>
        <w:numPr>
          <w:ilvl w:val="0"/>
          <w:numId w:val="2"/>
        </w:numPr>
      </w:pPr>
      <w:r w:rsidRPr="00181C3A">
        <w:t>Volume-tier breakdown — bin series into low/medium/high average sales, compare error metrics per tier (checks if intermittent/sparse series are the culprit).</w:t>
      </w:r>
    </w:p>
    <w:p w14:paraId="57EB2686" w14:textId="77777777" w:rsidR="00181C3A" w:rsidRPr="00181C3A" w:rsidRDefault="00181C3A" w:rsidP="00181C3A">
      <w:pPr>
        <w:numPr>
          <w:ilvl w:val="0"/>
          <w:numId w:val="2"/>
        </w:numPr>
      </w:pPr>
      <w:r w:rsidRPr="00181C3A">
        <w:t>Error distribution visualization — histogram of signed errors (not absolute) to see tail shape.</w:t>
      </w:r>
    </w:p>
    <w:p w14:paraId="7331D7CA" w14:textId="77777777" w:rsidR="00181C3A" w:rsidRPr="00181C3A" w:rsidRDefault="00181C3A" w:rsidP="00181C3A">
      <w:pPr>
        <w:numPr>
          <w:ilvl w:val="0"/>
          <w:numId w:val="2"/>
        </w:numPr>
      </w:pPr>
      <w:r w:rsidRPr="00181C3A">
        <w:t>Worst-case inspection — plot actual vs. predicted for the top 20-30 worst predictions over their 7-day horizon, to eyeball what's going wrong (spike, data anomaly, etc.).</w:t>
      </w:r>
    </w:p>
    <w:p w14:paraId="5A305CEA" w14:textId="77777777" w:rsidR="00181C3A" w:rsidRPr="00181C3A" w:rsidRDefault="00181C3A" w:rsidP="00181C3A">
      <w:pPr>
        <w:numPr>
          <w:ilvl w:val="0"/>
          <w:numId w:val="2"/>
        </w:numPr>
      </w:pPr>
      <w:r w:rsidRPr="00181C3A">
        <w:t>Conclusion — written summary of which factor(s) explain most of the RMSE/MAE gap, based on 2-8.</w:t>
      </w:r>
    </w:p>
    <w:p w14:paraId="6CDB5267" w14:textId="16CA2602" w:rsidR="00E646C1" w:rsidRPr="00E646C1" w:rsidRDefault="00181C3A" w:rsidP="00E646C1">
      <w:pPr>
        <w:rPr>
          <w:b/>
          <w:bCs/>
        </w:rPr>
      </w:pPr>
      <w:r>
        <w:rPr>
          <w:b/>
          <w:bCs/>
        </w:rPr>
        <w:br/>
        <w:t xml:space="preserve">Report- </w:t>
      </w:r>
      <w:r>
        <w:rPr>
          <w:b/>
          <w:bCs/>
        </w:rPr>
        <w:br/>
      </w:r>
      <w:r w:rsidR="00E646C1" w:rsidRPr="00E646C1">
        <w:rPr>
          <w:b/>
          <w:bCs/>
        </w:rPr>
        <w:t>RMSE/MAE Diagnostic Report — Champion TFT Model</w:t>
      </w:r>
    </w:p>
    <w:p w14:paraId="34F52996" w14:textId="77777777" w:rsidR="00E646C1" w:rsidRPr="00E646C1" w:rsidRDefault="00E646C1" w:rsidP="00E646C1">
      <w:pPr>
        <w:rPr>
          <w:b/>
          <w:bCs/>
        </w:rPr>
      </w:pPr>
      <w:r w:rsidRPr="00E646C1">
        <w:rPr>
          <w:b/>
          <w:bCs/>
        </w:rPr>
        <w:t>Background</w:t>
      </w:r>
    </w:p>
    <w:p w14:paraId="3C49362F" w14:textId="77777777" w:rsidR="00E646C1" w:rsidRPr="00E646C1" w:rsidRDefault="00E646C1" w:rsidP="00E646C1">
      <w:r w:rsidRPr="00E646C1">
        <w:t xml:space="preserve">Your project guide flagged that while MAE (12.387 units) is reasonable, RMSE (29.542 units) is roughly </w:t>
      </w:r>
      <w:r w:rsidRPr="00E646C1">
        <w:rPr>
          <w:b/>
          <w:bCs/>
        </w:rPr>
        <w:t>2.39x</w:t>
      </w:r>
      <w:r w:rsidRPr="00E646C1">
        <w:t xml:space="preserve"> higher — well above the ~1.25 ratio expected for well-behaved, Gaussian-distributed forecast errors. This report documents the diagnostic process used to investigate the cause, on the Champion TFT model's test set (22,659 row-level predictions, reshaped from tft_test_forecasts.csv, covering Aug 1–15, 2017, 400 store-item pairs, 7-day horizon).</w:t>
      </w:r>
    </w:p>
    <w:p w14:paraId="5FB088FB" w14:textId="77777777" w:rsidR="00E646C1" w:rsidRPr="00E646C1" w:rsidRDefault="00E646C1" w:rsidP="00E646C1">
      <w:pPr>
        <w:rPr>
          <w:b/>
          <w:bCs/>
        </w:rPr>
      </w:pPr>
      <w:r w:rsidRPr="00E646C1">
        <w:rPr>
          <w:b/>
          <w:bCs/>
        </w:rPr>
        <w:t>What We Tested</w:t>
      </w:r>
    </w:p>
    <w:p w14:paraId="1283F235" w14:textId="77777777" w:rsidR="00E646C1" w:rsidRPr="00E646C1" w:rsidRDefault="00E646C1" w:rsidP="00E646C1">
      <w:pPr>
        <w:numPr>
          <w:ilvl w:val="0"/>
          <w:numId w:val="1"/>
        </w:numPr>
      </w:pPr>
      <w:r w:rsidRPr="00E646C1">
        <w:rPr>
          <w:b/>
          <w:bCs/>
        </w:rPr>
        <w:t>Sanity check</w:t>
      </w:r>
      <w:r w:rsidRPr="00E646C1">
        <w:t xml:space="preserve"> — recomputed MAE/RMSE/ratio from row-level data to confirm it matched the originally reported metrics.</w:t>
      </w:r>
    </w:p>
    <w:p w14:paraId="6AEF99BE" w14:textId="77777777" w:rsidR="00E646C1" w:rsidRPr="00E646C1" w:rsidRDefault="00E646C1" w:rsidP="00E646C1">
      <w:pPr>
        <w:numPr>
          <w:ilvl w:val="0"/>
          <w:numId w:val="1"/>
        </w:numPr>
      </w:pPr>
      <w:r w:rsidRPr="00E646C1">
        <w:rPr>
          <w:b/>
          <w:bCs/>
        </w:rPr>
        <w:t>Error concentration test</w:t>
      </w:r>
      <w:r w:rsidRPr="00E646C1">
        <w:t xml:space="preserve"> — sorted all predictions by squared error and measured what fraction of total squared error came from the top 1%, 5%, and 10% of rows.</w:t>
      </w:r>
    </w:p>
    <w:p w14:paraId="04E9FA99" w14:textId="77777777" w:rsidR="00E646C1" w:rsidRPr="00E646C1" w:rsidRDefault="00E646C1" w:rsidP="00E646C1">
      <w:pPr>
        <w:numPr>
          <w:ilvl w:val="0"/>
          <w:numId w:val="1"/>
        </w:numPr>
      </w:pPr>
      <w:r w:rsidRPr="00E646C1">
        <w:rPr>
          <w:b/>
          <w:bCs/>
        </w:rPr>
        <w:t>Worst-case inspection</w:t>
      </w:r>
      <w:r w:rsidRPr="00E646C1">
        <w:t xml:space="preserve"> — manually examined the 20 highest-error predictions to look for patterns (same stores/items repeating, data anomalies, etc.).</w:t>
      </w:r>
    </w:p>
    <w:p w14:paraId="1F3F7AB4" w14:textId="77777777" w:rsidR="00E646C1" w:rsidRPr="00E646C1" w:rsidRDefault="00E646C1" w:rsidP="00E646C1">
      <w:pPr>
        <w:numPr>
          <w:ilvl w:val="0"/>
          <w:numId w:val="1"/>
        </w:numPr>
      </w:pPr>
      <w:r w:rsidRPr="00E646C1">
        <w:rPr>
          <w:b/>
          <w:bCs/>
        </w:rPr>
        <w:t>Store-item pair identification</w:t>
      </w:r>
      <w:r w:rsidRPr="00E646C1">
        <w:t xml:space="preserve"> — counted how many </w:t>
      </w:r>
      <w:r w:rsidRPr="00E646C1">
        <w:rPr>
          <w:i/>
          <w:iCs/>
        </w:rPr>
        <w:t>unique</w:t>
      </w:r>
      <w:r w:rsidRPr="00E646C1">
        <w:t xml:space="preserve"> store-item pairs were responsible for the top 1% of errors.</w:t>
      </w:r>
    </w:p>
    <w:p w14:paraId="61530AEE" w14:textId="77777777" w:rsidR="00E646C1" w:rsidRPr="00E646C1" w:rsidRDefault="00E646C1" w:rsidP="00E646C1">
      <w:pPr>
        <w:numPr>
          <w:ilvl w:val="0"/>
          <w:numId w:val="1"/>
        </w:numPr>
      </w:pPr>
      <w:r w:rsidRPr="00E646C1">
        <w:rPr>
          <w:b/>
          <w:bCs/>
        </w:rPr>
        <w:lastRenderedPageBreak/>
        <w:t>Metadata cross-reference</w:t>
      </w:r>
      <w:r w:rsidRPr="00E646C1">
        <w:t xml:space="preserve"> — joined the worst-offending pairs against selected_pairs.csv to check their average_sales, demand_bin, and family classification.</w:t>
      </w:r>
    </w:p>
    <w:p w14:paraId="49D72780" w14:textId="77777777" w:rsidR="00E646C1" w:rsidRPr="00E646C1" w:rsidRDefault="00E646C1" w:rsidP="00E646C1">
      <w:pPr>
        <w:numPr>
          <w:ilvl w:val="0"/>
          <w:numId w:val="1"/>
        </w:numPr>
      </w:pPr>
      <w:r w:rsidRPr="00E646C1">
        <w:rPr>
          <w:b/>
          <w:bCs/>
        </w:rPr>
        <w:t>Bias direction check</w:t>
      </w:r>
      <w:r w:rsidRPr="00E646C1">
        <w:t xml:space="preserve"> — measured mean error and % of under- vs. over-predictions specifically for the worst-offending pairs, to see if the model has a systematic directional bias or just high variance.</w:t>
      </w:r>
    </w:p>
    <w:p w14:paraId="5E132793" w14:textId="77777777" w:rsidR="00E646C1" w:rsidRPr="00E646C1" w:rsidRDefault="00E646C1" w:rsidP="00E646C1">
      <w:pPr>
        <w:numPr>
          <w:ilvl w:val="0"/>
          <w:numId w:val="1"/>
        </w:numPr>
      </w:pPr>
      <w:r w:rsidRPr="00E646C1">
        <w:rPr>
          <w:b/>
          <w:bCs/>
        </w:rPr>
        <w:t>Horizon-day breakdown</w:t>
      </w:r>
      <w:r w:rsidRPr="00E646C1">
        <w:t xml:space="preserve"> — checked whether error for these pairs worsens as the forecast horizon extends (Day+1 vs Day+7).</w:t>
      </w:r>
    </w:p>
    <w:p w14:paraId="1FE21695" w14:textId="77777777" w:rsidR="00E646C1" w:rsidRPr="00E646C1" w:rsidRDefault="00E646C1" w:rsidP="00E646C1">
      <w:pPr>
        <w:rPr>
          <w:b/>
          <w:bCs/>
        </w:rPr>
      </w:pPr>
      <w:r w:rsidRPr="00E646C1">
        <w:rPr>
          <w:b/>
          <w:bCs/>
        </w:rPr>
        <w:t>What We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4771"/>
      </w:tblGrid>
      <w:tr w:rsidR="00E646C1" w:rsidRPr="00E646C1" w14:paraId="55652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92659" w14:textId="77777777" w:rsidR="00E646C1" w:rsidRPr="00E646C1" w:rsidRDefault="00E646C1" w:rsidP="00E646C1">
            <w:pPr>
              <w:rPr>
                <w:b/>
                <w:bCs/>
              </w:rPr>
            </w:pPr>
            <w:r w:rsidRPr="00E646C1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0B910478" w14:textId="77777777" w:rsidR="00E646C1" w:rsidRPr="00E646C1" w:rsidRDefault="00E646C1" w:rsidP="00E646C1">
            <w:pPr>
              <w:rPr>
                <w:b/>
                <w:bCs/>
              </w:rPr>
            </w:pPr>
            <w:r w:rsidRPr="00E646C1">
              <w:rPr>
                <w:b/>
                <w:bCs/>
              </w:rPr>
              <w:t>Result</w:t>
            </w:r>
          </w:p>
        </w:tc>
      </w:tr>
      <w:tr w:rsidR="00E646C1" w:rsidRPr="00E646C1" w14:paraId="103E2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583D" w14:textId="77777777" w:rsidR="00E646C1" w:rsidRPr="00E646C1" w:rsidRDefault="00E646C1" w:rsidP="00E646C1">
            <w:r w:rsidRPr="00E646C1">
              <w:t>Overall RMSE/MAE ratio</w:t>
            </w:r>
          </w:p>
        </w:tc>
        <w:tc>
          <w:tcPr>
            <w:tcW w:w="0" w:type="auto"/>
            <w:vAlign w:val="center"/>
            <w:hideMark/>
          </w:tcPr>
          <w:p w14:paraId="79E2E37D" w14:textId="77777777" w:rsidR="00E646C1" w:rsidRPr="00E646C1" w:rsidRDefault="00E646C1" w:rsidP="00E646C1">
            <w:r w:rsidRPr="00E646C1">
              <w:t>2.39 (vs. ~1.25 expected for Gaussian errors)</w:t>
            </w:r>
          </w:p>
        </w:tc>
      </w:tr>
      <w:tr w:rsidR="00E646C1" w:rsidRPr="00E646C1" w14:paraId="3CAFC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87F5" w14:textId="77777777" w:rsidR="00E646C1" w:rsidRPr="00E646C1" w:rsidRDefault="00E646C1" w:rsidP="00E646C1">
            <w:r w:rsidRPr="00E646C1">
              <w:t>Squared error from top 1% of rows</w:t>
            </w:r>
          </w:p>
        </w:tc>
        <w:tc>
          <w:tcPr>
            <w:tcW w:w="0" w:type="auto"/>
            <w:vAlign w:val="center"/>
            <w:hideMark/>
          </w:tcPr>
          <w:p w14:paraId="1B2D8764" w14:textId="77777777" w:rsidR="00E646C1" w:rsidRPr="00E646C1" w:rsidRDefault="00E646C1" w:rsidP="00E646C1">
            <w:r w:rsidRPr="00E646C1">
              <w:t>62.1%</w:t>
            </w:r>
          </w:p>
        </w:tc>
      </w:tr>
      <w:tr w:rsidR="00E646C1" w:rsidRPr="00E646C1" w14:paraId="3FBE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7551" w14:textId="77777777" w:rsidR="00E646C1" w:rsidRPr="00E646C1" w:rsidRDefault="00E646C1" w:rsidP="00E646C1">
            <w:r w:rsidRPr="00E646C1">
              <w:t>Squared error from top 5% of rows</w:t>
            </w:r>
          </w:p>
        </w:tc>
        <w:tc>
          <w:tcPr>
            <w:tcW w:w="0" w:type="auto"/>
            <w:vAlign w:val="center"/>
            <w:hideMark/>
          </w:tcPr>
          <w:p w14:paraId="0E787F78" w14:textId="77777777" w:rsidR="00E646C1" w:rsidRPr="00E646C1" w:rsidRDefault="00E646C1" w:rsidP="00E646C1">
            <w:r w:rsidRPr="00E646C1">
              <w:t>84.3%</w:t>
            </w:r>
          </w:p>
        </w:tc>
      </w:tr>
      <w:tr w:rsidR="00E646C1" w:rsidRPr="00E646C1" w14:paraId="200E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8285" w14:textId="77777777" w:rsidR="00E646C1" w:rsidRPr="00E646C1" w:rsidRDefault="00E646C1" w:rsidP="00E646C1">
            <w:r w:rsidRPr="00E646C1">
              <w:t>Squared error from top 10% of rows</w:t>
            </w:r>
          </w:p>
        </w:tc>
        <w:tc>
          <w:tcPr>
            <w:tcW w:w="0" w:type="auto"/>
            <w:vAlign w:val="center"/>
            <w:hideMark/>
          </w:tcPr>
          <w:p w14:paraId="37FDD62C" w14:textId="77777777" w:rsidR="00E646C1" w:rsidRPr="00E646C1" w:rsidRDefault="00E646C1" w:rsidP="00E646C1">
            <w:r w:rsidRPr="00E646C1">
              <w:t>91.7%</w:t>
            </w:r>
          </w:p>
        </w:tc>
      </w:tr>
      <w:tr w:rsidR="00E646C1" w:rsidRPr="00E646C1" w14:paraId="6FC45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F876" w14:textId="77777777" w:rsidR="00E646C1" w:rsidRPr="00E646C1" w:rsidRDefault="00E646C1" w:rsidP="00E646C1">
            <w:r w:rsidRPr="00E646C1">
              <w:t>Unique store-item pairs in top 1% worst errors</w:t>
            </w:r>
          </w:p>
        </w:tc>
        <w:tc>
          <w:tcPr>
            <w:tcW w:w="0" w:type="auto"/>
            <w:vAlign w:val="center"/>
            <w:hideMark/>
          </w:tcPr>
          <w:p w14:paraId="76CE9F5B" w14:textId="77777777" w:rsidR="00E646C1" w:rsidRPr="00E646C1" w:rsidRDefault="00E646C1" w:rsidP="00E646C1">
            <w:r w:rsidRPr="00E646C1">
              <w:t>20 (out of ~400)</w:t>
            </w:r>
          </w:p>
        </w:tc>
      </w:tr>
      <w:tr w:rsidR="00E646C1" w:rsidRPr="00E646C1" w14:paraId="3382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E9F4" w14:textId="77777777" w:rsidR="00E646C1" w:rsidRPr="00E646C1" w:rsidRDefault="00E646C1" w:rsidP="00E646C1">
            <w:r w:rsidRPr="00E646C1">
              <w:t>Rows belonging to these 20 pairs</w:t>
            </w:r>
          </w:p>
        </w:tc>
        <w:tc>
          <w:tcPr>
            <w:tcW w:w="0" w:type="auto"/>
            <w:vAlign w:val="center"/>
            <w:hideMark/>
          </w:tcPr>
          <w:p w14:paraId="4B95238F" w14:textId="77777777" w:rsidR="00E646C1" w:rsidRPr="00E646C1" w:rsidRDefault="00E646C1" w:rsidP="00E646C1">
            <w:r w:rsidRPr="00E646C1">
              <w:t>1,204 (5.3% of all rows)</w:t>
            </w:r>
          </w:p>
        </w:tc>
      </w:tr>
      <w:tr w:rsidR="00E646C1" w:rsidRPr="00E646C1" w14:paraId="7381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5E26" w14:textId="77777777" w:rsidR="00E646C1" w:rsidRPr="00E646C1" w:rsidRDefault="00E646C1" w:rsidP="00E646C1">
            <w:r w:rsidRPr="00E646C1">
              <w:t>Squared error contributed by these 20 pairs</w:t>
            </w:r>
          </w:p>
        </w:tc>
        <w:tc>
          <w:tcPr>
            <w:tcW w:w="0" w:type="auto"/>
            <w:vAlign w:val="center"/>
            <w:hideMark/>
          </w:tcPr>
          <w:p w14:paraId="3E739758" w14:textId="77777777" w:rsidR="00E646C1" w:rsidRPr="00E646C1" w:rsidRDefault="00E646C1" w:rsidP="00E646C1">
            <w:r w:rsidRPr="00E646C1">
              <w:rPr>
                <w:b/>
                <w:bCs/>
              </w:rPr>
              <w:t>74.5%</w:t>
            </w:r>
          </w:p>
        </w:tc>
      </w:tr>
      <w:tr w:rsidR="00E646C1" w:rsidRPr="00E646C1" w14:paraId="11E0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A8CD" w14:textId="77777777" w:rsidR="00E646C1" w:rsidRPr="00E646C1" w:rsidRDefault="00E646C1" w:rsidP="00E646C1">
            <w:r w:rsidRPr="00E646C1">
              <w:t>demand_bin of all 20 pairs</w:t>
            </w:r>
          </w:p>
        </w:tc>
        <w:tc>
          <w:tcPr>
            <w:tcW w:w="0" w:type="auto"/>
            <w:vAlign w:val="center"/>
            <w:hideMark/>
          </w:tcPr>
          <w:p w14:paraId="1295A4CE" w14:textId="77777777" w:rsidR="00E646C1" w:rsidRPr="00E646C1" w:rsidRDefault="00E646C1" w:rsidP="00E646C1">
            <w:r w:rsidRPr="00E646C1">
              <w:t>very_high (19/20) — the highest-volume tier in the dataset</w:t>
            </w:r>
          </w:p>
        </w:tc>
      </w:tr>
      <w:tr w:rsidR="00E646C1" w:rsidRPr="00E646C1" w14:paraId="0F834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AE61" w14:textId="77777777" w:rsidR="00E646C1" w:rsidRPr="00E646C1" w:rsidRDefault="00E646C1" w:rsidP="00E646C1">
            <w:r w:rsidRPr="00E646C1">
              <w:t>Mean error for these pairs (true − pred)</w:t>
            </w:r>
          </w:p>
        </w:tc>
        <w:tc>
          <w:tcPr>
            <w:tcW w:w="0" w:type="auto"/>
            <w:vAlign w:val="center"/>
            <w:hideMark/>
          </w:tcPr>
          <w:p w14:paraId="51539B8D" w14:textId="77777777" w:rsidR="00E646C1" w:rsidRPr="00E646C1" w:rsidRDefault="00E646C1" w:rsidP="00E646C1">
            <w:r w:rsidRPr="00E646C1">
              <w:t>+8.6 (near zero — slight underprediction on average)</w:t>
            </w:r>
          </w:p>
        </w:tc>
      </w:tr>
      <w:tr w:rsidR="00E646C1" w:rsidRPr="00E646C1" w14:paraId="0F67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27F8" w14:textId="77777777" w:rsidR="00E646C1" w:rsidRPr="00E646C1" w:rsidRDefault="00E646C1" w:rsidP="00E646C1">
            <w:r w:rsidRPr="00E646C1">
              <w:t>% of rows underpredicted vs overpredicted for these pairs</w:t>
            </w:r>
          </w:p>
        </w:tc>
        <w:tc>
          <w:tcPr>
            <w:tcW w:w="0" w:type="auto"/>
            <w:vAlign w:val="center"/>
            <w:hideMark/>
          </w:tcPr>
          <w:p w14:paraId="44B92FAF" w14:textId="77777777" w:rsidR="00E646C1" w:rsidRPr="00E646C1" w:rsidRDefault="00E646C1" w:rsidP="00E646C1">
            <w:r w:rsidRPr="00E646C1">
              <w:t>47.3% underpredicted / 52.7% overpredicted — roughly balanced</w:t>
            </w:r>
          </w:p>
        </w:tc>
      </w:tr>
      <w:tr w:rsidR="00E646C1" w:rsidRPr="00E646C1" w14:paraId="3D0E3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FC70" w14:textId="77777777" w:rsidR="00E646C1" w:rsidRPr="00E646C1" w:rsidRDefault="00E646C1" w:rsidP="00E646C1">
            <w:r w:rsidRPr="00E646C1">
              <w:t xml:space="preserve">RMSE/MAE ratio </w:t>
            </w:r>
            <w:r w:rsidRPr="00E646C1">
              <w:rPr>
                <w:i/>
                <w:iCs/>
              </w:rPr>
              <w:t>within</w:t>
            </w:r>
            <w:r w:rsidRPr="00E646C1">
              <w:t xml:space="preserve"> these 20 pairs alone</w:t>
            </w:r>
          </w:p>
        </w:tc>
        <w:tc>
          <w:tcPr>
            <w:tcW w:w="0" w:type="auto"/>
            <w:vAlign w:val="center"/>
            <w:hideMark/>
          </w:tcPr>
          <w:p w14:paraId="5E6E004B" w14:textId="77777777" w:rsidR="00E646C1" w:rsidRPr="00E646C1" w:rsidRDefault="00E646C1" w:rsidP="00E646C1">
            <w:r w:rsidRPr="00E646C1">
              <w:t>1.47–1.67 — much closer to the Gaussian benchmark</w:t>
            </w:r>
          </w:p>
        </w:tc>
      </w:tr>
      <w:tr w:rsidR="00E646C1" w:rsidRPr="00E646C1" w14:paraId="37CE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94CB" w14:textId="77777777" w:rsidR="00E646C1" w:rsidRPr="00E646C1" w:rsidRDefault="00E646C1" w:rsidP="00E646C1">
            <w:r w:rsidRPr="00E646C1">
              <w:t>Horizon-day degradation for these pairs</w:t>
            </w:r>
          </w:p>
        </w:tc>
        <w:tc>
          <w:tcPr>
            <w:tcW w:w="0" w:type="auto"/>
            <w:vAlign w:val="center"/>
            <w:hideMark/>
          </w:tcPr>
          <w:p w14:paraId="7EBD1B57" w14:textId="6654DCFB" w:rsidR="00E646C1" w:rsidRPr="00E646C1" w:rsidRDefault="00E646C1" w:rsidP="00E646C1">
            <w:r w:rsidRPr="00E646C1">
              <w:t>Flat/stable across Day+1 to Day+7 — no progressive worsening</w:t>
            </w:r>
          </w:p>
        </w:tc>
      </w:tr>
    </w:tbl>
    <w:p w14:paraId="146ED9D0" w14:textId="60AE6831" w:rsidR="00E646C1" w:rsidRPr="00E646C1" w:rsidRDefault="00E646C1" w:rsidP="00E646C1">
      <w:r>
        <w:rPr>
          <w:b/>
          <w:bCs/>
        </w:rPr>
        <w:br/>
      </w:r>
      <w:r w:rsidRPr="00E646C1">
        <w:rPr>
          <w:b/>
          <w:bCs/>
        </w:rPr>
        <w:t>In plain terms:</w:t>
      </w:r>
      <w:r w:rsidRPr="00E646C1">
        <w:t xml:space="preserve"> the model isn't broadly unreliable. A small, identifiable group of 20 store-item pairs — your highest-selling SKUs (avg. 15–497 units/day) — generate three-quarters of the total squared error, even though they make up only 5.3% of the test rows. Within that group, the model doesn't have a consistent directional bias (it's not always under- or over-shooting); it has </w:t>
      </w:r>
      <w:r w:rsidRPr="00E646C1">
        <w:rPr>
          <w:b/>
          <w:bCs/>
        </w:rPr>
        <w:t>high day-to-day variance</w:t>
      </w:r>
      <w:r w:rsidRPr="00E646C1">
        <w:t>, which squared-error metrics punish disproportionately simply because the absolute swings are naturally bigger for high-volume items (a 50-unit miss on an item averaging 300 units/day is "normal" relative noise, but contributes a huge number to RMSE).</w:t>
      </w:r>
    </w:p>
    <w:p w14:paraId="7BA6BB74" w14:textId="77777777" w:rsidR="00E646C1" w:rsidRPr="00E646C1" w:rsidRDefault="00E646C1" w:rsidP="00E646C1">
      <w:r w:rsidRPr="00E646C1">
        <w:lastRenderedPageBreak/>
        <w:t>This matches known behavior in retail demand forecasting: a small number of fast-moving SKUs dominate squared-error metrics, while the bulk of the catalog (slow/medium movers) forecasts cleanly — which is exactly why your MAE stays low while RMSE balloons.</w:t>
      </w:r>
    </w:p>
    <w:p w14:paraId="46724880" w14:textId="77777777" w:rsidR="00E646C1" w:rsidRPr="00E646C1" w:rsidRDefault="00E646C1" w:rsidP="00E646C1">
      <w:pPr>
        <w:rPr>
          <w:b/>
          <w:bCs/>
        </w:rPr>
      </w:pPr>
      <w:r w:rsidRPr="00E646C1">
        <w:rPr>
          <w:b/>
          <w:bCs/>
        </w:rPr>
        <w:t>What Can Be Done to Fix This</w:t>
      </w:r>
    </w:p>
    <w:p w14:paraId="1A970449" w14:textId="13EEAAB0" w:rsidR="00E646C1" w:rsidRPr="00E646C1" w:rsidRDefault="00181C3A" w:rsidP="00E646C1">
      <w:r>
        <w:rPr>
          <w:b/>
          <w:bCs/>
        </w:rPr>
        <w:t>1</w:t>
      </w:r>
      <w:r w:rsidR="00E646C1" w:rsidRPr="00E646C1">
        <w:rPr>
          <w:b/>
          <w:bCs/>
        </w:rPr>
        <w:t>. Segment-aware loss weighting (moderate effort, no architecture change)</w:t>
      </w:r>
      <w:r w:rsidR="00E646C1" w:rsidRPr="00E646C1">
        <w:br/>
        <w:t>Give the high-volume demand_bin = very_high series higher weight in the Huber loss during retraining, so the model is penalized more for missing them. Risk: may slightly hurt performance on the other 95% of series. Needs one retrain, not an architecture redesign.</w:t>
      </w:r>
    </w:p>
    <w:p w14:paraId="2E8C2A34" w14:textId="772DFC59" w:rsidR="00E646C1" w:rsidRPr="00E646C1" w:rsidRDefault="00181C3A" w:rsidP="00E646C1">
      <w:r>
        <w:rPr>
          <w:b/>
          <w:bCs/>
        </w:rPr>
        <w:t>2</w:t>
      </w:r>
      <w:r w:rsidR="00E646C1" w:rsidRPr="00E646C1">
        <w:rPr>
          <w:b/>
          <w:bCs/>
        </w:rPr>
        <w:t>. Per-tier modeling or scaling (moderate-high effort)</w:t>
      </w:r>
      <w:r w:rsidR="00E646C1" w:rsidRPr="00E646C1">
        <w:br/>
        <w:t>Train the high-volume tier (or just these 20 pairs) with a separate model/head, or apply tier-specific feature scaling instead of one global scaler — since target_sales_scaler.joblib applying one log1p + StandardScaler globally may compress large values' gradient signal during training.</w:t>
      </w:r>
    </w:p>
    <w:p w14:paraId="0EF0B62C" w14:textId="62F45DAD" w:rsidR="00746D6A" w:rsidRDefault="00181C3A">
      <w:r>
        <w:rPr>
          <w:b/>
          <w:bCs/>
        </w:rPr>
        <w:t>3</w:t>
      </w:r>
      <w:r w:rsidR="00E646C1" w:rsidRPr="00E646C1">
        <w:rPr>
          <w:b/>
          <w:bCs/>
        </w:rPr>
        <w:t>. Quantile/probabilistic forecasting (highest effort, most defensible fix)</w:t>
      </w:r>
      <w:r w:rsidR="00E646C1" w:rsidRPr="00E646C1">
        <w:br/>
        <w:t xml:space="preserve">Predict P10/P50/P90 instead of a point forecast. This doesn't eliminate the variance, but it gives your downstream PSO-based inventory optimization the uncertainty band directly — which is arguably more useful than a lower RMSE, since safety stock calculations need a sense of forecast </w:t>
      </w:r>
      <w:r w:rsidR="00E646C1" w:rsidRPr="00E646C1">
        <w:rPr>
          <w:i/>
          <w:iCs/>
        </w:rPr>
        <w:t>uncertainty</w:t>
      </w:r>
      <w:r w:rsidR="00E646C1" w:rsidRPr="00E646C1">
        <w:t>, not just a point estimate. This is the standard fix in the forecasting literature for exactly this kind of heavy-tailed, high-volume-driven error pattern, but it requires retraining with a different loss function (pinball/quantile loss) and more careful evaluation.</w:t>
      </w:r>
    </w:p>
    <w:sectPr w:rsidR="0074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44A9"/>
    <w:multiLevelType w:val="multilevel"/>
    <w:tmpl w:val="9750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B83D83"/>
    <w:multiLevelType w:val="multilevel"/>
    <w:tmpl w:val="F99A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175976">
    <w:abstractNumId w:val="0"/>
  </w:num>
  <w:num w:numId="2" w16cid:durableId="180566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C1"/>
    <w:rsid w:val="00181C3A"/>
    <w:rsid w:val="00401D9A"/>
    <w:rsid w:val="005B392F"/>
    <w:rsid w:val="00746D6A"/>
    <w:rsid w:val="00811121"/>
    <w:rsid w:val="00C778FD"/>
    <w:rsid w:val="00E6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A927"/>
  <w15:chartTrackingRefBased/>
  <w15:docId w15:val="{6937EDDD-41FC-4F9C-A09D-06F05C36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Kartikey</dc:creator>
  <cp:keywords/>
  <dc:description/>
  <cp:lastModifiedBy>Tanmay Kartikey</cp:lastModifiedBy>
  <cp:revision>2</cp:revision>
  <dcterms:created xsi:type="dcterms:W3CDTF">2026-10-02T19:21:00Z</dcterms:created>
  <dcterms:modified xsi:type="dcterms:W3CDTF">2026-10-02T20:34:00Z</dcterms:modified>
</cp:coreProperties>
</file>