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ReportTitle"/>
      </w:pPr>
      <w:r>
        <w:t>Automata-Based Probabilistic DNA Motif Detection</w:t>
      </w:r>
    </w:p>
    <w:p>
      <w:pPr>
        <w:pStyle w:val="ReportSubtitle"/>
      </w:pPr>
      <w:r>
        <w:t>Compiler Design &amp; Theory of Computation Case Study</w:t>
      </w:r>
    </w:p>
    <w:p>
      <w:pPr>
        <w:pStyle w:val="Heading2"/>
      </w:pPr>
      <w:r>
        <w:t>Project Team Details</w:t>
      </w:r>
    </w:p>
    <w:tbl>
      <w:tblPr>
        <w:tblW w:w="94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bottom w:w="100" w:type="dxa"/>
          <w:left w:w="140" w:type="dxa"/>
          <w:right w:w="140" w:type="dxa"/>
        </w:tblCellMar>
      </w:tblPr>
      <w:tr>
        <w:trPr>
          <w:tblHeader/>
        </w:trPr>
        <w:tc>
          <w:tcPr>
            <w:tcW w:w="800" w:type="dxa"/>
            <w:shd w:val="clear" w:color="auto"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S.No.</w:t>
            </w:r>
          </w:p>
        </w:tc>
        <w:tc>
          <w:tcPr>
            <w:tcW w:w="2600" w:type="dxa"/>
            <w:shd w:val="clear" w:color="auto"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Team Member Name</w:t>
            </w:r>
          </w:p>
        </w:tc>
        <w:tc>
          <w:tcPr>
            <w:tcW w:w="2400" w:type="dxa"/>
            <w:shd w:val="clear" w:color="auto"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Registration / Roll No.</w:t>
            </w:r>
          </w:p>
        </w:tc>
        <w:tc>
          <w:tcPr>
            <w:tcW w:w="3600" w:type="dxa"/>
            <w:shd w:val="clear" w:color="auto" w:fill="1E3A8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Project Role &amp; Module Contribution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20"/>
                <w:color w:val="334155"/>
              </w:rPr>
              <w:t>1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20"/>
                <w:color w:val="334155"/>
              </w:rPr>
              <w:t>Tanmay Goel (Leader)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20"/>
                <w:color w:val="334155"/>
              </w:rPr>
              <w:t>[ Reg / Roll No ]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20"/>
                <w:color w:val="334155"/>
              </w:rPr>
              <w:t>Module 1: 20-Motif Modeling, Information Theory &amp; Staden DP</w:t>
            </w:r>
          </w:p>
        </w:tc>
      </w:tr>
      <w:tr>
        <w:tc>
          <w:tcPr>
            <w:tcW w:w="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20"/>
                <w:color w:val="334155"/>
              </w:rPr>
              <w:t>2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20"/>
                <w:color w:val="334155"/>
              </w:rPr>
              <w:t>[ Team Member 2 Name ]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20"/>
                <w:color w:val="334155"/>
              </w:rPr>
              <w:t>[ Reg / Roll No ]</w:t>
            </w:r>
          </w:p>
        </w:tc>
        <w:tc>
          <w:tcPr>
            <w:tcW w:w="36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20"/>
                <w:color w:val="334155"/>
              </w:rPr>
              <w:t>Module 2: Formal Automata Engines, 2D Mismatch &amp; VM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20"/>
                <w:color w:val="334155"/>
              </w:rPr>
              <w:t>3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20"/>
                <w:color w:val="334155"/>
              </w:rPr>
              <w:t>[ Team Member 3 Name ]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20"/>
                <w:color w:val="334155"/>
              </w:rPr>
              <w:t>[ Reg / Roll No ]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50" w:after="50"/>
            </w:pPr>
            <w:r>
              <w:rPr>
                <w:sz w:val="20"/>
                <w:color w:val="334155"/>
              </w:rPr>
              <w:t>Module 3: 20-Genome Registry, DNA Appender &amp; Dual-Strand Scanner</w:t>
            </w:r>
          </w:p>
        </w:tc>
      </w:tr>
      <w:tr>
        <w:tc>
          <w:tcPr>
            <w:tcW w:w="8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20"/>
                <w:color w:val="334155"/>
              </w:rPr>
              <w:t>4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20"/>
                <w:color w:val="334155"/>
              </w:rPr>
              <w:t>[ Team Member 4 Name ]</w:t>
            </w:r>
          </w:p>
        </w:tc>
        <w:tc>
          <w:tcPr>
            <w:tcW w:w="24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20"/>
                <w:color w:val="334155"/>
              </w:rPr>
              <w:t>[ Reg / Roll No ]</w:t>
            </w:r>
          </w:p>
        </w:tc>
        <w:tc>
          <w:tcPr>
            <w:tcW w:w="3600" w:type="dxa"/>
            <w:shd w:val="clear" w:color="auto" w:fill="F8FAFC"/>
          </w:tcPr>
          <w:p>
            <w:pPr>
              <w:spacing w:before="50" w:after="50"/>
            </w:pPr>
            <w:r>
              <w:rPr>
                <w:sz w:val="20"/>
                <w:color w:val="334155"/>
              </w:rPr>
              <w:t>Module 4: Ground-Truth Evaluation, ROC Curves &amp; Profiler</w:t>
            </w:r>
          </w:p>
        </w:tc>
      </w:tr>
    </w:tbl>
    <w:p>
      <w:pPr>
        <w:spacing w:before="0" w:after="100"/>
        <w:jc w:val="left"/>
      </w:pPr>
      <w:r>
        <w:rPr/>
        <w:t xml:space="preserve"/>
      </w:r>
    </w:p>
    <w:p>
      <w:pPr>
        <w:pStyle w:val="Heading1"/>
      </w:pPr>
      <w:r>
        <w:t>1. Compiler Design Connection (Theory &amp; Concepts)</w:t>
      </w:r>
    </w:p>
    <w:p>
      <w:pPr>
        <w:spacing w:before="0" w:after="100"/>
        <w:jc w:val="left"/>
      </w:pPr>
      <w:r>
        <w:rPr/>
        <w:t xml:space="preserve">The fundamental goal of a compiler's Lexical Analyzer (Lexer) is pattern recognition over a finite alphabet. In a standard compiler, regular expressions are compiled into Deterministic Finite Automata (DFAs) that consume stream characters and classify tokens through state transitions.</w:t>
      </w:r>
    </w:p>
    <w:p>
      <w:pPr>
        <w:spacing w:before="0" w:after="100"/>
        <w:jc w:val="left"/>
      </w:pPr>
      <w:r>
        <w:rPr/>
        <w:t xml:space="preserve">This project extends the classical compiler theory into bioinformatics by recognizing variable DNA patterns using Weighted Finite Automata (WFAs) and Mismatch-Aware 2D Automata: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Finite Alphabet (Σ): </w:t>
      </w:r>
      <w:r>
        <w:t xml:space="preserve">DNA nucleotide alphabet Σ = {A, C, G, T} mapped to compiler input tokens.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Lexeme / Token:  </w:t>
      </w:r>
      <w:r>
        <w:t xml:space="preserve">Target biological motifs (e.g. GATA1, p53, CTCF binding sites) treated as lexical tokens.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Automaton State Chain: </w:t>
      </w:r>
      <w:r>
        <w:t xml:space="preserve">States q0 → q1 → ... → qL, where each state represents consuming one position of the motif window.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Weighted Transitions (W): </w:t>
      </w:r>
      <w:r>
        <w:t xml:space="preserve">Instead of binary accept/reject (G → next), each transition carries a log-odds weight derived from position probability matrices: G / weight → next state.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2D State Space q(i, k): </w:t>
      </w:r>
      <w:r>
        <w:t xml:space="preserve">Tracks position i and consumed mismatch budget k in state space q(i, k), enforcing error tolerance constraints (0 ≤ k ≤ K_max).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Lookahead Pruning: </w:t>
      </w:r>
      <w:r>
        <w:t xml:space="preserve">Pruning search branches when remaining maximum suffix weight cannot reach the threshold, mirroring compiler dead-code elimination.</w:t>
      </w:r>
    </w:p>
    <w:p>
      <w:pPr>
        <w:pStyle w:val="Heading1"/>
      </w:pPr>
      <w:r>
        <w:t>2. What the Project Achieves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Solves Exact Match Rigidity: </w:t>
      </w:r>
      <w:r>
        <w:t xml:space="preserve">Traditional regex/exact string matching fails on biological motifs because transcription factors tolerate mutations. The WFA scores sequence affinity quantitatively.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20-Motif Bank Registry: </w:t>
      </w:r>
      <w:r>
        <w:t xml:space="preserve">Expanded from a single motif to 20 biologically verified transcription factors (JASPAR profiles) spanning 6 bp to 20 bp.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20-Genome Reference Registry: </w:t>
      </w:r>
      <w:r>
        <w:t xml:space="preserve">Provides 20 preloaded genomic loci across human chromosomes and model organisms (Mouse, Zebrafish, Yeast, Viruses, Bacteria).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Custom DNA Sequence Appending: </w:t>
      </w:r>
      <w:r>
        <w:t xml:space="preserve">Allows users to enter new custom DNA sequences or append additional sequence bases directly to any selected genome.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Modern Interactive Python UI: </w:t>
      </w:r>
      <w:r>
        <w:t xml:space="preserve">Native Tkinter desktop application (gui_app.py) featuring interactive motif selection, genome viewers, canvas automaton graph drawing, and result tables.</w:t>
      </w:r>
    </w:p>
    <w:p>
      <w:pPr>
        <w:pStyle w:val="Heading1"/>
      </w:pPr>
      <w:r>
        <w:t>3. Execution Results &amp; Screenshot Walkthrough</w:t>
      </w:r>
    </w:p>
    <w:p>
      <w:pPr>
        <w:spacing w:before="120" w:after="40"/>
      </w:pPr>
      <w:r>
        <w:rPr>
          <w:b/>
          <w:color w:val="0F172A"/>
          <w:sz w:val="22"/>
        </w:rPr>
        <w:t>Screenshot 1: 20-Motif Explorer &amp; PSSM Calculation (Module 1 / GUI Tab 1)</w:t>
      </w:r>
    </w:p>
    <w:tbl>
      <w:tblPr>
        <w:tblW w:w="9400" w:type="dxa"/>
        <w:tblBorders>
          <w:top w:val="dashed" w:sz="12" w:space="0" w:color="94A3B8"/>
          <w:left w:val="dashed" w:sz="12" w:space="0" w:color="94A3B8"/>
          <w:bottom w:val="dashed" w:sz="12" w:space="0" w:color="94A3B8"/>
          <w:right w:val="dashed" w:sz="12" w:space="0" w:color="94A3B8"/>
        </w:tblBorders>
        <w:tblCellMar>
          <w:top w:w="240" w:type="dxa"/>
          <w:bottom w:w="240" w:type="dxa"/>
          <w:left w:w="200" w:type="dxa"/>
          <w:right w:w="200" w:type="dxa"/>
        </w:tblCellMar>
      </w:tblPr>
      <w:tr>
        <w:tc>
          <w:tcPr>
            <w:tcW w:w="9400" w:type="dxa"/>
            <w:shd w:val="clear" w:color="auto" w:fill="F8FAFC"/>
          </w:tcPr>
          <w:p>
            <w:pPr>
              <w:jc w:val="center"/>
              <w:spacing w:before="300" w:after="80"/>
            </w:pPr>
            <w:r>
              <w:rPr>
                <w:b/>
                <w:color w:val="2563EB"/>
                <w:sz w:val="24"/>
              </w:rPr>
              <w:t>📷 [ PASTE SCREENSHOT HERE ]</w:t>
            </w:r>
          </w:p>
          <w:p>
            <w:pPr>
              <w:jc w:val="center"/>
              <w:spacing w:before="40" w:after="300"/>
            </w:pPr>
            <w:r>
              <w:rPr>
                <w:i/>
                <w:color w:val="64748B"/>
                <w:sz w:val="20"/>
              </w:rPr>
              <w:t>Insert screenshot showing Motif Selector (GATA1 / p53 / CTCF), PFM matrix, PSSM Log-Odds, Information Content (bits), and Staden DP P-value inversion.</w:t>
            </w:r>
          </w:p>
        </w:tc>
      </w:tr>
    </w:tbl>
    <w:p>
      <w:pPr>
        <w:spacing w:before="0" w:after="100"/>
        <w:jc w:val="left"/>
      </w:pPr>
      <w:r>
        <w:rPr>
          <w:b/>
          <w:color w:val="1E3A8A"/>
        </w:rPr>
        <w:t xml:space="preserve">Minimal Result Explanation (Screenshot 1):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Probability Conversion: </w:t>
      </w:r>
      <w:r>
        <w:t xml:space="preserve">Converts raw JASPAR counts into smoothed probabilities using pseudocount α = 0.1.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Information Content: </w:t>
      </w:r>
      <w:r>
        <w:t xml:space="preserve">Position 4 in GATA1 shows maximum conservation (1.55 bits, strong T preference), yielding Total Information Content = 5.904 bits.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P-Value Threshold Inversion: </w:t>
      </w:r>
      <w:r>
        <w:t xml:space="preserve">Staden DP discrete convolution calculates exact analytical P-values and inverts them to score thresholds.</w:t>
      </w:r>
    </w:p>
    <w:p>
      <w:pPr>
        <w:spacing w:before="0" w:after="100"/>
        <w:jc w:val="left"/>
      </w:pPr>
      <w:r>
        <w:rPr/>
        <w:t xml:space="preserve"/>
      </w:r>
    </w:p>
    <w:p>
      <w:pPr>
        <w:spacing w:before="120" w:after="40"/>
      </w:pPr>
      <w:r>
        <w:rPr>
          <w:b/>
          <w:color w:val="0F172A"/>
          <w:sz w:val="22"/>
        </w:rPr>
        <w:t>Screenshot 2: Interactive Automata Canvas Visualizer &amp; Step Tracer (Module 2 / GUI Tab 2)</w:t>
      </w:r>
    </w:p>
    <w:tbl>
      <w:tblPr>
        <w:tblW w:w="9400" w:type="dxa"/>
        <w:tblBorders>
          <w:top w:val="dashed" w:sz="12" w:space="0" w:color="94A3B8"/>
          <w:left w:val="dashed" w:sz="12" w:space="0" w:color="94A3B8"/>
          <w:bottom w:val="dashed" w:sz="12" w:space="0" w:color="94A3B8"/>
          <w:right w:val="dashed" w:sz="12" w:space="0" w:color="94A3B8"/>
        </w:tblBorders>
        <w:tblCellMar>
          <w:top w:w="240" w:type="dxa"/>
          <w:bottom w:w="240" w:type="dxa"/>
          <w:left w:w="200" w:type="dxa"/>
          <w:right w:w="200" w:type="dxa"/>
        </w:tblCellMar>
      </w:tblPr>
      <w:tr>
        <w:tc>
          <w:tcPr>
            <w:tcW w:w="9400" w:type="dxa"/>
            <w:shd w:val="clear" w:color="auto" w:fill="F8FAFC"/>
          </w:tcPr>
          <w:p>
            <w:pPr>
              <w:jc w:val="center"/>
              <w:spacing w:before="300" w:after="80"/>
            </w:pPr>
            <w:r>
              <w:rPr>
                <w:b/>
                <w:color w:val="2563EB"/>
                <w:sz w:val="24"/>
              </w:rPr>
              <w:t>📷 [ PASTE SCREENSHOT HERE ]</w:t>
            </w:r>
          </w:p>
          <w:p>
            <w:pPr>
              <w:jc w:val="center"/>
              <w:spacing w:before="40" w:after="300"/>
            </w:pPr>
            <w:r>
              <w:rPr>
                <w:i/>
                <w:color w:val="64748B"/>
                <w:sz w:val="20"/>
              </w:rPr>
              <w:t>Insert screenshot showing Canvas state graph q0-&gt;q1-&gt;...-&gt;qL, Step-by-step diagnostic trace for 'AGATAG', and Bytecode VM disassembly.</w:t>
            </w:r>
          </w:p>
        </w:tc>
      </w:tr>
    </w:tbl>
    <w:p>
      <w:pPr>
        <w:spacing w:before="0" w:after="100"/>
        <w:jc w:val="left"/>
      </w:pPr>
      <w:r>
        <w:rPr>
          <w:b/>
          <w:color w:val="1E3A8A"/>
        </w:rPr>
        <w:t xml:space="preserve">Minimal Result Explanation (Screenshot 2):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Automaton Graph Visualizer: </w:t>
      </w:r>
      <w:r>
        <w:t xml:space="preserve">Visualizes states q0 through qL with color coding (Start in green, Accept in double-circle blue, active trace states in yellow).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1D-WFA Execution Trace: </w:t>
      </w:r>
      <w:r>
        <w:t xml:space="preserve">Demonstrates state walk q0→q1→...→q6 with weights (+0.89, +1.74, +1.73, +1.90, +1.64, -2.68) yielding Total Score = +5.221.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Bytecode VM Disassembler: </w:t>
      </w:r>
      <w:r>
        <w:t xml:space="preserve">Demonstrates linear opcode instructions (READ_BASE, ADD_WEIGHT, ACCEPT_HIT) generated for the Automaton Virtual Machine.</w:t>
      </w:r>
    </w:p>
    <w:p>
      <w:pPr>
        <w:spacing w:before="0" w:after="100"/>
        <w:jc w:val="left"/>
      </w:pPr>
      <w:r>
        <w:rPr/>
        <w:t xml:space="preserve"/>
      </w:r>
    </w:p>
    <w:p>
      <w:pPr>
        <w:spacing w:before="120" w:after="40"/>
      </w:pPr>
      <w:r>
        <w:rPr>
          <w:b/>
          <w:color w:val="0F172A"/>
          <w:sz w:val="22"/>
        </w:rPr>
        <w:t>Screenshot 3: 20-Genome Registry &amp; Custom Sequence Appender (Module 3 / GUI Tab 1)</w:t>
      </w:r>
    </w:p>
    <w:tbl>
      <w:tblPr>
        <w:tblW w:w="9400" w:type="dxa"/>
        <w:tblBorders>
          <w:top w:val="dashed" w:sz="12" w:space="0" w:color="94A3B8"/>
          <w:left w:val="dashed" w:sz="12" w:space="0" w:color="94A3B8"/>
          <w:bottom w:val="dashed" w:sz="12" w:space="0" w:color="94A3B8"/>
          <w:right w:val="dashed" w:sz="12" w:space="0" w:color="94A3B8"/>
        </w:tblBorders>
        <w:tblCellMar>
          <w:top w:w="240" w:type="dxa"/>
          <w:bottom w:w="240" w:type="dxa"/>
          <w:left w:w="200" w:type="dxa"/>
          <w:right w:w="200" w:type="dxa"/>
        </w:tblCellMar>
      </w:tblPr>
      <w:tr>
        <w:tc>
          <w:tcPr>
            <w:tcW w:w="9400" w:type="dxa"/>
            <w:shd w:val="clear" w:color="auto" w:fill="F8FAFC"/>
          </w:tcPr>
          <w:p>
            <w:pPr>
              <w:jc w:val="center"/>
              <w:spacing w:before="300" w:after="80"/>
            </w:pPr>
            <w:r>
              <w:rPr>
                <w:b/>
                <w:color w:val="2563EB"/>
                <w:sz w:val="24"/>
              </w:rPr>
              <w:t>📷 [ PASTE SCREENSHOT HERE ]</w:t>
            </w:r>
          </w:p>
          <w:p>
            <w:pPr>
              <w:jc w:val="center"/>
              <w:spacing w:before="40" w:after="300"/>
            </w:pPr>
            <w:r>
              <w:rPr>
                <w:i/>
                <w:color w:val="64748B"/>
                <w:sz w:val="20"/>
              </w:rPr>
              <w:t>Insert screenshot showing Genome dropdown, Sequence Viewer, and 'Add / Append DNA Sequence' action with success banner.</w:t>
            </w:r>
          </w:p>
        </w:tc>
      </w:tr>
    </w:tbl>
    <w:p>
      <w:pPr>
        <w:spacing w:before="0" w:after="100"/>
        <w:jc w:val="left"/>
      </w:pPr>
      <w:r>
        <w:rPr>
          <w:b/>
          <w:color w:val="1E3A8A"/>
        </w:rPr>
        <w:t xml:space="preserve">Minimal Result Explanation (Screenshot 3):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20-Genome Registry: </w:t>
      </w:r>
      <w:r>
        <w:t xml:space="preserve">User can select from 20 authentic genomic loci (Human Chr11 HBB, Chr17 TP53, Chr8 MYC, Mouse Hbb, Zebrafish gata1a, etc.).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Live DNA Sequence Appending: </w:t>
      </w:r>
      <w:r>
        <w:t xml:space="preserve">Appends additional DNA bases (e.g. 50 bp regulatory fragment) directly to the active genome, instantly updating coordinates and length.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Sequence Sanitization: </w:t>
      </w:r>
      <w:r>
        <w:t xml:space="preserve">Validates and cleans input DNA, stripping invalid characters and computing updated regional GC content.</w:t>
      </w:r>
    </w:p>
    <w:p>
      <w:pPr>
        <w:spacing w:before="0" w:after="100"/>
        <w:jc w:val="left"/>
      </w:pPr>
      <w:r>
        <w:rPr/>
        <w:t xml:space="preserve"/>
      </w:r>
    </w:p>
    <w:p>
      <w:pPr>
        <w:spacing w:before="120" w:after="40"/>
      </w:pPr>
      <w:r>
        <w:rPr>
          <w:b/>
          <w:color w:val="0F172A"/>
          <w:sz w:val="22"/>
        </w:rPr>
        <w:t>Screenshot 4: Dual-Strand Genomic Scanner &amp; Results Table (Module 3 / GUI Tab 3)</w:t>
      </w:r>
    </w:p>
    <w:tbl>
      <w:tblPr>
        <w:tblW w:w="9400" w:type="dxa"/>
        <w:tblBorders>
          <w:top w:val="dashed" w:sz="12" w:space="0" w:color="94A3B8"/>
          <w:left w:val="dashed" w:sz="12" w:space="0" w:color="94A3B8"/>
          <w:bottom w:val="dashed" w:sz="12" w:space="0" w:color="94A3B8"/>
          <w:right w:val="dashed" w:sz="12" w:space="0" w:color="94A3B8"/>
        </w:tblBorders>
        <w:tblCellMar>
          <w:top w:w="240" w:type="dxa"/>
          <w:bottom w:w="240" w:type="dxa"/>
          <w:left w:w="200" w:type="dxa"/>
          <w:right w:w="200" w:type="dxa"/>
        </w:tblCellMar>
      </w:tblPr>
      <w:tr>
        <w:tc>
          <w:tcPr>
            <w:tcW w:w="9400" w:type="dxa"/>
            <w:shd w:val="clear" w:color="auto" w:fill="F8FAFC"/>
          </w:tcPr>
          <w:p>
            <w:pPr>
              <w:jc w:val="center"/>
              <w:spacing w:before="300" w:after="80"/>
            </w:pPr>
            <w:r>
              <w:rPr>
                <w:b/>
                <w:color w:val="2563EB"/>
                <w:sz w:val="24"/>
              </w:rPr>
              <w:t>📷 [ PASTE SCREENSHOT HERE ]</w:t>
            </w:r>
          </w:p>
          <w:p>
            <w:pPr>
              <w:jc w:val="center"/>
              <w:spacing w:before="40" w:after="300"/>
            </w:pPr>
            <w:r>
              <w:rPr>
                <w:i/>
                <w:color w:val="64748B"/>
                <w:sz w:val="20"/>
              </w:rPr>
              <w:t>Insert screenshot showing Dual-Strand (+ and -) results Treeview, surrounding genomic context preview, and BED/GFF3 export buttons.</w:t>
            </w:r>
          </w:p>
        </w:tc>
      </w:tr>
    </w:tbl>
    <w:p>
      <w:pPr>
        <w:spacing w:before="0" w:after="100"/>
        <w:jc w:val="left"/>
      </w:pPr>
      <w:r>
        <w:rPr>
          <w:b/>
          <w:color w:val="1E3A8A"/>
        </w:rPr>
        <w:t xml:space="preserve">Minimal Result Explanation (Screenshot 4):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Dual-Strand Coordinate Pipeline: </w:t>
      </w:r>
      <w:r>
        <w:t xml:space="preserve">Scans both forward (+) and reverse-complement (-) strands with exact chromosome coordinate mapping.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Results Table Inspector: </w:t>
      </w:r>
      <w:r>
        <w:t xml:space="preserve">Interactive Treeview displays hit start/end, strand, matched sequence, score, p-value, and mismatch count.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Genomic Context Viewer: </w:t>
      </w:r>
      <w:r>
        <w:t xml:space="preserve">Clicking any hit row extracts and highlights the surrounding ±20 bp genomic context.</w:t>
      </w:r>
    </w:p>
    <w:p>
      <w:pPr>
        <w:spacing w:before="0" w:after="100"/>
        <w:jc w:val="left"/>
      </w:pPr>
      <w:r>
        <w:rPr/>
        <w:t xml:space="preserve"/>
      </w:r>
    </w:p>
    <w:p>
      <w:pPr>
        <w:spacing w:before="120" w:after="40"/>
      </w:pPr>
      <w:r>
        <w:rPr>
          <w:b/>
          <w:color w:val="0F172A"/>
          <w:sz w:val="22"/>
        </w:rPr>
        <w:t>Screenshot 5: Ground-Truth Evaluation &amp; Scalability Profiling (Module 4 / GUI Tab 4)</w:t>
      </w:r>
    </w:p>
    <w:tbl>
      <w:tblPr>
        <w:tblW w:w="9400" w:type="dxa"/>
        <w:tblBorders>
          <w:top w:val="dashed" w:sz="12" w:space="0" w:color="94A3B8"/>
          <w:left w:val="dashed" w:sz="12" w:space="0" w:color="94A3B8"/>
          <w:bottom w:val="dashed" w:sz="12" w:space="0" w:color="94A3B8"/>
          <w:right w:val="dashed" w:sz="12" w:space="0" w:color="94A3B8"/>
        </w:tblBorders>
        <w:tblCellMar>
          <w:top w:w="240" w:type="dxa"/>
          <w:bottom w:w="240" w:type="dxa"/>
          <w:left w:w="200" w:type="dxa"/>
          <w:right w:w="200" w:type="dxa"/>
        </w:tblCellMar>
      </w:tblPr>
      <w:tr>
        <w:tc>
          <w:tcPr>
            <w:tcW w:w="9400" w:type="dxa"/>
            <w:shd w:val="clear" w:color="auto" w:fill="F8FAFC"/>
          </w:tcPr>
          <w:p>
            <w:pPr>
              <w:jc w:val="center"/>
              <w:spacing w:before="300" w:after="80"/>
            </w:pPr>
            <w:r>
              <w:rPr>
                <w:b/>
                <w:color w:val="2563EB"/>
                <w:sz w:val="24"/>
              </w:rPr>
              <w:t>📷 [ PASTE SCREENSHOT HERE ]</w:t>
            </w:r>
          </w:p>
          <w:p>
            <w:pPr>
              <w:jc w:val="center"/>
              <w:spacing w:before="40" w:after="300"/>
            </w:pPr>
            <w:r>
              <w:rPr>
                <w:i/>
                <w:color w:val="64748B"/>
                <w:sz w:val="20"/>
              </w:rPr>
              <w:t>Insert screenshot showing Confusion Matrix (TP, FP, FN, TN), Optimal Operating Threshold, and Multi-Engine Scalability comparison table.</w:t>
            </w:r>
          </w:p>
        </w:tc>
      </w:tr>
    </w:tbl>
    <w:p>
      <w:pPr>
        <w:spacing w:before="0" w:after="100"/>
        <w:jc w:val="left"/>
      </w:pPr>
      <w:r>
        <w:rPr>
          <w:b/>
          <w:color w:val="1E3A8A"/>
        </w:rPr>
        <w:t xml:space="preserve">Minimal Result Explanation (Screenshot 5):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Ground-Truth Benchmark: </w:t>
      </w:r>
      <w:r>
        <w:t xml:space="preserve">Synthetic sequence with known implanted mutated motifs evaluates Precision, Recall, F1, and MCC without circular bias.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Optimal Threshold Detector: </w:t>
      </w:r>
      <w:r>
        <w:t xml:space="preserve">Systematic threshold sweep identifies optimal score cutoff maximizing F1-score.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Scalability &amp; Profiler: </w:t>
      </w:r>
      <w:r>
        <w:t xml:space="preserve">Direct PSSM and Pruned WFA achieve high throughput (~0.78 Mbp/s) with minimal memory footprint (&lt; 55 KB).</w:t>
      </w:r>
    </w:p>
    <w:p>
      <w:pPr>
        <w:pStyle w:val="Heading1"/>
      </w:pPr>
      <w:r>
        <w:t>4. Summary &amp; Key Takeaways for Review / Viva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Why Automata? </w:t>
      </w:r>
      <w:r>
        <w:t xml:space="preserve">A standard compiler asks 'Is this token valid?' (Boolean accept/reject). Our Weighted Finite Automaton asks 'How strongly does this input match the pattern?' (Probabilistic log-odds scoring).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Why WFA over DFA? </w:t>
      </w:r>
      <w:r>
        <w:t xml:space="preserve">Exact regex matches only a few sites. The probabilistic WFA identifies hundreds of candidate regulatory sites, capturing biological mutation tolerance.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Why 2D Mismatch Automaton? </w:t>
      </w:r>
      <w:r>
        <w:t xml:space="preserve">The 2D state space q(i, k) explicitly tracks position and mutation budget, bridging compiler state-space tracking with biological error tolerance.</w:t>
      </w:r>
    </w:p>
    <w:p>
      <w:pPr>
        <w:ind w:left="280"/>
        <w:spacing w:before="30" w:after="50"/>
      </w:pPr>
      <w:r>
        <w:rPr>
          <w:color w:val="2563EB"/>
          <w:b/>
        </w:rPr>
        <w:t>• </w:t>
      </w:r>
      <w:r>
        <w:rPr>
          <w:b/>
          <w:color w:val="1E3A8A"/>
        </w:rPr>
        <w:t xml:space="preserve">Rich Biological Breadth: </w:t>
      </w:r>
      <w:r>
        <w:t xml:space="preserve">Preloaded 20 transcription factors and 20 reference genomes, with an interactive desktop GUI and sequence appender.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1F2937"/>
      </w:rPr>
    </w:rPrDefault>
    <w:pPrDefault>
      <w:pPr>
        <w:spacing w:line="260" w:lineRule="auto" w:after="120"/>
      </w:pPr>
    </w:pPrDefault>
  </w:docDefaults>
  <w:style w:type="paragraph" w:styleId="ReportTitle">
    <w:name w:val="Report Title"/>
    <w:rPr>
      <w:rFonts w:ascii="Arial" w:hAnsi="Arial"/>
      <w:b/>
      <w:sz w:val="42"/>
      <w:color w:val="0F172A"/>
    </w:rPr>
    <w:pPr>
      <w:spacing w:before="120" w:after="80"/>
      <w:jc w:val="center"/>
    </w:pPr>
  </w:style>
  <w:style w:type="paragraph" w:styleId="ReportSubtitle">
    <w:name w:val="Report Subtitle"/>
    <w:rPr>
      <w:rFonts w:ascii="Calibri" w:hAnsi="Calibri"/>
      <w:b/>
      <w:sz w:val="24"/>
      <w:color w:val="2563EB"/>
    </w:rPr>
    <w:pPr>
      <w:spacing w:after="200"/>
      <w:jc w:val="center"/>
    </w:pPr>
  </w:style>
  <w:style w:type="paragraph" w:styleId="Heading1">
    <w:name w:val="heading 1"/>
    <w:rPr>
      <w:rFonts w:ascii="Arial" w:hAnsi="Arial"/>
      <w:b/>
      <w:sz w:val="28"/>
      <w:color w:val="1E3A8A"/>
    </w:rPr>
    <w:pPr>
      <w:spacing w:before="240" w:after="100"/>
    </w:pPr>
  </w:style>
  <w:style w:type="paragraph" w:styleId="Heading2">
    <w:name w:val="heading 2"/>
    <w:rPr>
      <w:rFonts w:ascii="Arial" w:hAnsi="Arial"/>
      <w:b/>
      <w:sz w:val="24"/>
      <w:color w:val="2563EB"/>
    </w:rPr>
    <w:pPr>
      <w:spacing w:before="180" w:after="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