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EEETitle"/>
        <w:widowControl/>
        <w:bidi w:val="0"/>
        <w:spacing w:lineRule="auto" w:line="240" w:before="120" w:after="120"/>
        <w:jc w:val="center"/>
        <w:rPr/>
      </w:pPr>
      <w:r>
        <w:rPr/>
        <w:t>Automata-Based DNA Motif Detection: A High-Throughput Compiler Architecture for Probabilistic Biological Pattern Recognition</w:t>
      </w:r>
    </w:p>
    <w:p>
      <w:pPr>
        <w:pStyle w:val="IEEEAuthor"/>
        <w:rPr/>
      </w:pPr>
      <w:r>
        <w:rPr/>
        <w:t>Tanmay Goel</w:t>
      </w:r>
      <w:r>
        <w:rPr/>
        <w:t>(24BCE2916)</w:t>
      </w:r>
      <w:r>
        <w:rPr/>
        <w:t xml:space="preserve">, </w:t>
      </w:r>
      <w:r>
        <w:rPr/>
        <w:t>Sourish Dutta(24BCT0282)</w:t>
      </w:r>
      <w:r>
        <w:rPr/>
        <w:t xml:space="preserve">, </w:t>
      </w:r>
      <w:r>
        <w:rPr/>
        <w:t>Arka Das(24BCT0288)</w:t>
      </w:r>
      <w:r>
        <w:rPr/>
        <w:t xml:space="preserve">, </w:t>
      </w:r>
      <w:r>
        <w:rPr/>
        <w:t>Vertika Singh(24BCB0121)</w:t>
      </w:r>
    </w:p>
    <w:p>
      <w:pPr>
        <w:pStyle w:val="IEEEAffiliation"/>
        <w:rPr/>
      </w:pPr>
      <w:r>
        <w:rPr/>
        <w:t>Department of Computer Science and Engineering, Compiler Design &amp; Theory of Computation Research Group *All authors contributed equally to this work.</w:t>
      </w:r>
    </w:p>
    <w:p>
      <w:pPr>
        <w:pStyle w:val="BodyText"/>
        <w:rPr/>
      </w:pPr>
      <w:r>
        <w:rPr>
          <w:b/>
        </w:rPr>
        <w:t xml:space="preserve">Abstract— </w:t>
      </w:r>
      <w:r>
        <w:rPr/>
        <w:t>Identification of Transcription Factor Binding Sites (TFBS) in eukaryotic and prokaryotic genomic loci, de novo or targeted, is a fundamental challenge in computational genomics. Traditional bioinformatics tools for regulatory sequence search often involve unconstrained heuristic sliding-window matrix multiplication, leading to significant cache misses, redundant arithmetic operations and poor scalability. We show in this paper a formal equivalence between genomic motif recognition and compiler lexical analysis. We represent position-specific scoring matrices (PSSMs) as weighted finite automata (WFA) and introduce a 2D mismatch-aware state space M_2D = {(q_i, k) | 0 &lt;= i &lt;= L, 0 &lt;= k &lt;= K}. Introducing to reconcile probabilistic biological degenerate matching with deterministic compiler performance, we propose: (i) an IUPAC degenerate base semantics exact lexical Deterministic Finite Automaton (DFA) fast-path tokenizer, (ii) a branch-and-bound suffix score upper-bound pruning technique that prunes unpromising state transitions with zero false negatives, and (iii) a dynamic programming convolution pipeline computing exact P-values by the Staden algorithm. Benchmarks demonstrate linear time complexity O(N) in length of genomic sequences, throughput &gt;1.2 x 10^6 base pairs per second on commodity hardware, Area Under the ROC Curve (AUC-ROC) of 0.982, and 8.4-fold speedup over naive matrix convolution while strictly preserving biological sensitivity.</w:t>
      </w:r>
    </w:p>
    <w:p>
      <w:pPr>
        <w:pStyle w:val="IEEEAbstract"/>
        <w:rPr/>
      </w:pPr>
      <w:r>
        <w:rPr>
          <w:b/>
        </w:rPr>
        <w:t xml:space="preserve">Index Terms— </w:t>
      </w:r>
      <w:r>
        <w:rPr/>
        <w:t>Compiler Design, Lexical Analysis, Weighted Finite Automata, Biological Sequence Analysis, Transcription Factor Binding Sites, Dynamic Programming, Information Theory, Streamlit.</w:t>
      </w:r>
    </w:p>
    <w:p>
      <w:pPr>
        <w:pStyle w:val="IEEEHeading1"/>
        <w:rPr/>
      </w:pPr>
      <w:r>
        <w:rPr>
          <w:b/>
          <w:smallCaps/>
        </w:rPr>
        <w:t>I. INTRODUCTION</w:t>
      </w:r>
    </w:p>
    <w:p>
      <w:pPr>
        <w:pStyle w:val="IEEEBody"/>
        <w:rPr/>
      </w:pPr>
      <w:r>
        <w:rPr/>
        <w:t>Transcriptional gene regulation in living cells is mediated through sequence-specific interactions between protein transcription factors (TFs) and short, degenerate nucleotide sequences, called Transcription Factor Binding Sites (TFBS), located in promoter, enhancer and silencer regions [1]. Rapid genome-wide localization of these regulatory loci is required to understand cellular differentiation, oncogenesis and viral-host interactions [2].</w:t>
      </w:r>
    </w:p>
    <w:p>
      <w:pPr>
        <w:pStyle w:val="IEEEBody"/>
        <w:rPr/>
      </w:pPr>
      <w:r>
        <w:rPr/>
        <w:t>However, regulatory motifs have considerable evolutionary plasticity. Unlike programming language keywords (e.g., while, return) that must be matched exactly as strings, transcription factors recognize degenerate families of sequences defined by probabilities of conservation of nucleotides [3]. In computational biology, this problem has been historically tackled by Position Weight Matrices (PWMs) and Position Specific Scoring Matrices (PSSMs) [4]. Conventional scanning implementations perform a brute-force sliding-window dot product against the genome: for a genomic sequence of length N and a motif of length L, the scanner performs L log-odds additions for each of the 2(N-L+1) windows on both Watson and Crick strands [5]. On mammalian genomes (N ~ 3.2 x 10^9 bp) the naive computational paradigm incurs heavy penalties in cache efficiency, redundant inner-loop calculations and memory bandwidth.</w:t>
      </w:r>
    </w:p>
    <w:p>
      <w:pPr>
        <w:pStyle w:val="IEEEBody"/>
        <w:rPr/>
      </w:pPr>
      <w:r>
        <w:rPr/>
        <w:t>In this work we propose that the problem of genomic motif detection is isomorphic to that of the lexical analysis phase of a modern optimizing compiler. Within the framework of compiler construction a lexer transforms a stream of raw characters Sigma* into structured tokens by performing deterministic or non-deterministic state transitions induced by regular grammars [6]. We then extend classical boolean transition alphabets to real-valued semiring weights, and show that a PSSM is mathematically equivalent to a Weighted Finite Automaton (WFA) over the tropical (or log-odds) semiring (R max,+) [7].</w:t>
      </w:r>
    </w:p>
    <w:p>
      <w:pPr>
        <w:pStyle w:val="IEEEHeading1"/>
        <w:rPr/>
      </w:pPr>
      <w:r>
        <w:rPr>
          <w:b/>
          <w:smallCaps/>
        </w:rPr>
        <w:t>II. THEORETICAL FOUNDATIONS &amp; COMPILER EQUIVALENCE</w:t>
      </w:r>
    </w:p>
    <w:p>
      <w:pPr>
        <w:pStyle w:val="IEEEHeading2"/>
        <w:rPr>
          <w:b/>
          <w:bCs/>
        </w:rPr>
      </w:pPr>
      <w:r>
        <w:rPr>
          <w:b/>
          <w:bCs/>
          <w:i/>
        </w:rPr>
        <w:t>A. Genomic Alphabet and Lexical Tokens</w:t>
      </w:r>
    </w:p>
    <w:p>
      <w:pPr>
        <w:pStyle w:val="IEEEBody"/>
        <w:rPr/>
      </w:pPr>
      <w:r>
        <w:rPr/>
        <w:tab/>
        <w:t xml:space="preserve">Let us denote as Sigma the nucleotide alphabet defined as Sigma = {A, C, G, T}. The IUPAC degenerate nomenclature ensures representation of the ambiguous base positions by means of set-valued characters. For example, letters R, Y, W, S, and N denote respectively the following set of bases: R = {A, G}, Y = {C, T}, W = {A, T}, S = {C, G}, and N = {A, C, G, T}. The conventional design of the compiler implies that a text in Sigma* that has been input to the lexical analyzer will be separated into tokens belonging to regular languages L which are subsets of Sigma*. </w:t>
      </w:r>
    </w:p>
    <w:p>
      <w:pPr>
        <w:pStyle w:val="IEEEHeading2"/>
        <w:rPr>
          <w:b/>
          <w:bCs/>
        </w:rPr>
      </w:pPr>
      <w:r>
        <w:rPr>
          <w:b/>
          <w:bCs/>
          <w:i/>
        </w:rPr>
        <w:t>B. Weighted Finite Automata (WFA) Formulation</w:t>
      </w:r>
    </w:p>
    <w:p>
      <w:pPr>
        <w:pStyle w:val="BodyText"/>
        <w:rPr/>
      </w:pPr>
      <w:r>
        <w:rPr/>
        <w:tab/>
        <w:t>A 1D Linear Weighted Finite Automaton defined on the log-odds semiring is a structure given by: </w:t>
      </w:r>
    </w:p>
    <w:p>
      <w:pPr>
        <w:pStyle w:val="BodyText"/>
        <w:rPr/>
      </w:pPr>
      <w:r>
        <w:rPr/>
        <w:tab/>
        <w:tab/>
        <w:tab/>
        <w:tab/>
        <w:tab/>
        <w:t>M = (Q, Sigma, delta, W, q_0, F) </w:t>
      </w:r>
    </w:p>
    <w:p>
      <w:pPr>
        <w:pStyle w:val="BodyText"/>
        <w:rPr/>
      </w:pPr>
      <w:r>
        <w:rPr/>
        <w:t>where Q = {q_0, q_1, ..., q_L} indicates the set of linear states occupying positions 0 to L. The transition function takes the form delta(q_i, b) = q_{i+1}, while the weight function manifests as W(q_i, b) = PSSM[b][i]. The starting state is denoted as q_0, while the completion state is denoted as F = {q_L}. The total score S(w) for the given candidate window w = b_0 b_1 ... b_{L-1} is calculated as follows: </w:t>
      </w:r>
    </w:p>
    <w:p>
      <w:pPr>
        <w:pStyle w:val="BodyText"/>
        <w:rPr/>
      </w:pPr>
      <w:r>
        <w:rPr/>
        <w:tab/>
        <w:tab/>
        <w:tab/>
        <w:t>S(w) = Sum_{i=0}^{L-1} W(q_i, b_i) = Sum_{i=0}^{L-1} PSSM[b_i][i] </w:t>
      </w:r>
    </w:p>
    <w:p>
      <w:pPr>
        <w:pStyle w:val="BodyText"/>
        <w:rPr/>
      </w:pPr>
      <w:r>
        <w:rPr/>
        <w:t>For a candidate window to be identified as a valid lexical unit, it is imperative that S(w) is at least equal to or above T_cutoff.</w:t>
      </w:r>
    </w:p>
    <w:p>
      <w:pPr>
        <w:pStyle w:val="IEEEHeading2"/>
        <w:rPr>
          <w:b/>
          <w:bCs/>
        </w:rPr>
      </w:pPr>
      <w:r>
        <w:rPr>
          <w:b/>
          <w:bCs/>
          <w:i/>
        </w:rPr>
        <w:t>C. 2D Mismatch-Aware Automaton M_2D</w:t>
      </w:r>
    </w:p>
    <w:p>
      <w:pPr>
        <w:pStyle w:val="BodyText"/>
        <w:rPr/>
      </w:pPr>
      <w:r>
        <w:rPr/>
        <w:t>We develop a two-dimensional state space to model the physical DNA-protein binding where stronger binding at core positions can accept peripheral nucleotide mismatches: </w:t>
      </w:r>
    </w:p>
    <w:p>
      <w:pPr>
        <w:pStyle w:val="BodyText"/>
        <w:rPr/>
      </w:pPr>
      <w:r>
        <w:rPr/>
        <w:tab/>
        <w:tab/>
        <w:tab/>
        <w:tab/>
        <w:tab/>
        <w:t>Q_2D = {q(i, k) | 0 &lt;= i &lt;= L, 0 &lt;= k &lt;= K} </w:t>
      </w:r>
    </w:p>
    <w:p>
      <w:pPr>
        <w:pStyle w:val="BodyText"/>
        <w:rPr/>
      </w:pPr>
      <w:r>
        <w:rPr/>
        <w:t>where i stands for the index of current motif prefix and k reflects the count of non-consensus nucleotide mismatches encountered at that point. The automaton halts immediately upon exceeding K with k, discouraging unviable search branches without having completed all L steps. </w:t>
      </w:r>
    </w:p>
    <w:p>
      <w:pPr>
        <w:pStyle w:val="IEEEHeading2"/>
        <w:rPr>
          <w:b/>
          <w:bCs/>
        </w:rPr>
      </w:pPr>
      <w:r>
        <w:rPr>
          <w:b/>
          <w:bCs/>
        </w:rPr>
        <w:t>D. Lookahead Branch-and-Bound Pruning Theorem </w:t>
      </w:r>
    </w:p>
    <w:p>
      <w:pPr>
        <w:pStyle w:val="BodyText"/>
        <w:rPr/>
      </w:pPr>
      <w:r>
        <w:rPr/>
        <w:tab/>
        <w:t>Definition 1 (Suffix Maximum Potential): For a motif length L, the maximum possible score from position i to the end of the motif is: </w:t>
      </w:r>
    </w:p>
    <w:p>
      <w:pPr>
        <w:pStyle w:val="BodyText"/>
        <w:rPr/>
      </w:pPr>
      <w:r>
        <w:rPr/>
        <w:tab/>
        <w:tab/>
        <w:tab/>
        <w:tab/>
        <w:t>U(i) = Sum_{j=i}^{L-1} max_{b in Sigma} PSSM[b][j]; U(L) = 0 </w:t>
      </w:r>
    </w:p>
    <w:p>
      <w:pPr>
        <w:pStyle w:val="BodyText"/>
        <w:rPr/>
      </w:pPr>
      <w:r>
        <w:rPr/>
        <w:t>Theorem 1 (Correctness of Suffix Lookahead Pruning): Let S_i(w) satisfy the accumulated score after prefix b_0 ... b_{i-1} has been traversed. If at step i in {1, ..., L-1}: </w:t>
      </w:r>
    </w:p>
    <w:p>
      <w:pPr>
        <w:pStyle w:val="BodyText"/>
        <w:rPr/>
      </w:pPr>
      <w:r>
        <w:rPr/>
        <w:tab/>
        <w:tab/>
        <w:tab/>
        <w:tab/>
        <w:tab/>
        <w:tab/>
        <w:t>S_i(w) + U(i) &lt; T_cutoff </w:t>
      </w:r>
    </w:p>
    <w:p>
      <w:pPr>
        <w:pStyle w:val="BodyText"/>
        <w:rPr/>
      </w:pPr>
      <w:r>
        <w:rPr/>
        <w:t>then, at state q_L, the candidate window cannot possibly attain T_cutoff. The result being no false negatives for pruning at step i.</w:t>
      </w:r>
    </w:p>
    <w:p>
      <w:pPr>
        <w:pStyle w:val="IEEEHeading1"/>
        <w:rPr/>
      </w:pPr>
      <w:r>
        <w:rPr>
          <w:b/>
          <w:smallCaps/>
        </w:rPr>
        <w:t>III. PROBABILISTIC MODELING &amp; INFORMATION THEORY</w:t>
      </w:r>
    </w:p>
    <w:p>
      <w:pPr>
        <w:pStyle w:val="IEEEHeading2"/>
        <w:rPr>
          <w:b/>
          <w:bCs/>
        </w:rPr>
      </w:pPr>
      <w:r>
        <w:rPr>
          <w:b/>
          <w:bCs/>
          <w:i/>
        </w:rPr>
        <w:t>A. Frequency to Probability with Laplace Smoothing</w:t>
      </w:r>
    </w:p>
    <w:p>
      <w:pPr>
        <w:pStyle w:val="IEEEBody"/>
        <w:rPr/>
      </w:pPr>
      <w:r>
        <w:rPr/>
        <w:tab/>
        <w:t>Assuming there’s an alignment of N_seq known binding sequences, the occurrence counts give us the Position Frequency Matrix PFM[b][j]. With the aim of performing Bayesian Laplace smoothing, we make use of pseudocounts of alpha value of 1.0 in their calculation:</w:t>
      </w:r>
    </w:p>
    <w:p>
      <w:pPr>
        <w:pStyle w:val="IEEEBody"/>
        <w:rPr/>
      </w:pPr>
      <w:r>
        <w:rPr/>
        <w:tab/>
        <w:tab/>
        <w:tab/>
        <w:tab/>
        <w:t>P</w:t>
      </w:r>
      <w:r>
        <w:rPr/>
        <w:t>(b, j) = (PFM[b][j] + α*Q(b))/(Σ(PFM[b'][j]) + α)</w:t>
      </w:r>
    </w:p>
    <w:p>
      <w:pPr>
        <w:pStyle w:val="IEEEBody"/>
        <w:ind w:hanging="0" w:left="0"/>
        <w:rPr/>
      </w:pPr>
      <w:r>
        <w:rPr/>
        <w:t>where Q(b) = 0.25 is the uniform distribution of background nucleotides.</w:t>
      </w:r>
    </w:p>
    <w:p>
      <w:pPr>
        <w:pStyle w:val="IEEEHeading2"/>
        <w:rPr>
          <w:b/>
          <w:bCs/>
        </w:rPr>
      </w:pPr>
      <w:r>
        <w:rPr>
          <w:b/>
          <w:bCs/>
          <w:i/>
        </w:rPr>
        <w:t>B. Position-Specific Scoring Matrix (PSSM) Log-Odds</w:t>
      </w:r>
    </w:p>
    <w:p>
      <w:pPr>
        <w:pStyle w:val="IEEEBody"/>
        <w:rPr/>
      </w:pPr>
      <w:r>
        <w:rPr/>
        <w:tab/>
        <w:t>The log-odds entry of the PSSM provides the quantification of the chance of binding to the genomic sequence with respect to the random appearance of the same nucleotide in the whole genome using the binary logarithm.</w:t>
      </w:r>
    </w:p>
    <w:p>
      <w:pPr>
        <w:pStyle w:val="Normal"/>
        <w:spacing w:before="80" w:after="80"/>
        <w:jc w:val="center"/>
        <w:rPr/>
      </w:pPr>
      <w:r>
        <w:rPr>
          <w:rFonts w:ascii="Cambria Math" w:hAnsi="Cambria Math"/>
          <w:i/>
        </w:rPr>
        <w:t>PSSM[b][j] = log_2( P(b, j) / Q(b) )</w:t>
      </w:r>
    </w:p>
    <w:p>
      <w:pPr>
        <w:pStyle w:val="IEEEHeading2"/>
        <w:rPr>
          <w:b/>
          <w:bCs/>
          <w:i/>
        </w:rPr>
      </w:pPr>
      <w:r>
        <w:rPr>
          <w:b/>
          <w:bCs/>
          <w:i/>
        </w:rPr>
      </w:r>
    </w:p>
    <w:p>
      <w:pPr>
        <w:pStyle w:val="IEEEHeading2"/>
        <w:rPr>
          <w:b/>
          <w:bCs/>
          <w:i/>
        </w:rPr>
      </w:pPr>
      <w:r>
        <w:rPr>
          <w:b/>
          <w:bCs/>
          <w:i/>
        </w:rPr>
        <w:t>C. Shannon Information Content and Relative Entropy</w:t>
      </w:r>
    </w:p>
    <w:p>
      <w:pPr>
        <w:pStyle w:val="BodyText"/>
        <w:rPr/>
      </w:pPr>
      <w:r>
        <w:rPr/>
        <w:tab/>
        <w:t>Each motif column j's uncertainty is defined using the Shannon entropy H(j) = -Sum P(b, j) log_2 P(b, j). The sequence information content R_seq(j) is given by: </w:t>
      </w:r>
    </w:p>
    <w:p>
      <w:pPr>
        <w:pStyle w:val="BodyText"/>
        <w:rPr/>
      </w:pPr>
      <w:r>
        <w:rPr/>
        <w:tab/>
        <w:tab/>
        <w:tab/>
        <w:tab/>
        <w:tab/>
        <w:t>R_seq(j) = 2.0 - (H(j) + e(n)) </w:t>
      </w:r>
    </w:p>
    <w:p>
      <w:pPr>
        <w:pStyle w:val="BodyText"/>
        <w:rPr/>
      </w:pPr>
      <w:r>
        <w:rPr/>
        <w:t>where e(n), the Schneider small sample bias correction factor, equals 3/(2 ln 2 * N_seq) [8]. The total information content from the motifs is simply the sum of all contributions: I_total = Sum R_seq(j).</w:t>
      </w:r>
    </w:p>
    <w:p>
      <w:pPr>
        <w:pStyle w:val="IEEEHeading2"/>
        <w:rPr/>
      </w:pPr>
      <w:r>
        <w:rPr>
          <w:b/>
          <w:bCs/>
          <w:i/>
        </w:rPr>
        <w:t>D. Staden Dynamic Programming P-Value Inversion</w:t>
      </w:r>
    </w:p>
    <w:p>
      <w:pPr>
        <w:pStyle w:val="BodyText"/>
        <w:rPr/>
      </w:pPr>
      <w:r>
        <w:rPr/>
        <w:tab/>
        <w:t>The raw log-odds values are influenced by the motif length L. The Staden discrete dynamic programming convolution algorithm is utilized for calculating statistical thresholds rigorously. The weights are rounded off into integer bins such that W_tilde(b, j) = round( PSSM[b][j] / Delta ) and Delta is considered to be 0.05 bits. The dynamic programming recurrence equation is: </w:t>
      </w:r>
    </w:p>
    <w:p>
      <w:pPr>
        <w:pStyle w:val="BodyText"/>
        <w:rPr/>
      </w:pPr>
      <w:r>
        <w:rPr/>
        <w:tab/>
        <w:tab/>
        <w:tab/>
        <w:tab/>
        <w:t>D_j(s) = (sum of Q(b) * D_{j-1}(s - W_tilde(b, j-1))</w:t>
      </w:r>
    </w:p>
    <w:p>
      <w:pPr>
        <w:pStyle w:val="BodyText"/>
        <w:rPr/>
      </w:pPr>
      <w:r>
        <w:rPr/>
        <w:t>for all b in Sigma) The p-value can be calculated as: P-Value(T) = cCDF for observed score T = sum of D_L(s) From s = T/Delta to infinity. For the significance level alpha_sig = 10^-3, the engine computes T_opt by means of searching over the pre-computed cCDF.</w:t>
      </w:r>
    </w:p>
    <w:p>
      <w:pPr>
        <w:pStyle w:val="IEEEHeading1"/>
        <w:rPr/>
      </w:pPr>
      <w:r>
        <w:rPr>
          <w:b/>
          <w:smallCaps/>
        </w:rPr>
        <w:t>IV. COMPILER ARCHITECTURE &amp; VIRTUAL MACHINE</w:t>
      </w:r>
    </w:p>
    <w:p>
      <w:pPr>
        <w:pStyle w:val="IEEEHeading2"/>
        <w:rPr>
          <w:b/>
          <w:bCs/>
        </w:rPr>
      </w:pPr>
      <w:r>
        <w:rPr>
          <w:b/>
          <w:bCs/>
          <w:i/>
        </w:rPr>
        <w:t>A. Modular 4-Tier Compiler Architecture</w:t>
      </w:r>
    </w:p>
    <w:p>
      <w:pPr>
        <w:pStyle w:val="BodyText"/>
        <w:rPr/>
      </w:pPr>
      <w:r>
        <w:rPr/>
        <w:tab/>
        <w:t>There are four modules in the software components that function independently according to the principles of compiler design: </w:t>
      </w:r>
    </w:p>
    <w:p>
      <w:pPr>
        <w:pStyle w:val="BodyText"/>
        <w:rPr/>
      </w:pPr>
      <w:r>
        <w:rPr/>
        <w:tab/>
        <w:t>Module 1 (module1_motif_models.py) includes front end symbol table and generation of probabilistic model (e.g. PFM, PPM, PSSM, Shannon entropy, Staden DP P-values etc.). </w:t>
      </w:r>
    </w:p>
    <w:p>
      <w:pPr>
        <w:pStyle w:val="BodyText"/>
        <w:rPr/>
      </w:pPr>
      <w:r>
        <w:rPr/>
        <w:tab/>
        <w:t>Module 2 (module2_automata_engine.py) includes finite automata generation (e.g. Linear WFA, 2D Mismatch-Aware WFA, Exact Lexical DFA, Bytecode Compiler, and Virtual Machine). </w:t>
      </w:r>
    </w:p>
    <w:p>
      <w:pPr>
        <w:pStyle w:val="BodyText"/>
        <w:rPr/>
      </w:pPr>
      <w:r>
        <w:rPr/>
        <w:tab/>
        <w:t>Module 3 (module3_scanner_pipeline.py) includes high throughput execution engine (e.g. Genomic sequence management, Watson-Crick dual-strand mapping, Lookahead branch-and-bound pruning, dynamic sequence appender, and bioinformatics serializers). </w:t>
      </w:r>
    </w:p>
    <w:p>
      <w:pPr>
        <w:pStyle w:val="BodyText"/>
        <w:rPr/>
      </w:pPr>
      <w:r>
        <w:rPr/>
        <w:tab/>
        <w:t>Module 4 (module4_eval_benchmark.py) include user evaluation suite (e.g. Synthetic ground-truth generation with mutation rate control, Confusion matrix, ROC/PR curves, and multi-engine scalability).</w:t>
      </w:r>
    </w:p>
    <w:p>
      <w:pPr>
        <w:pStyle w:val="IEEEHeading2"/>
        <w:rPr/>
      </w:pPr>
      <w:r>
        <w:rPr>
          <w:b/>
          <w:bCs/>
          <w:i/>
        </w:rPr>
        <w:t>B. Automaton Bytecode Compiler &amp; Virtual Machine</w:t>
      </w:r>
    </w:p>
    <w:p>
      <w:pPr>
        <w:pStyle w:val="BodyText"/>
        <w:rPr/>
      </w:pPr>
      <w:r>
        <w:rPr/>
        <w:tab/>
        <w:t>In order to separate pattern definition from scanning execution, each pattern is assembled into a flat array of opcode functions (OP_INIT, OP_TRANSIT_WEIGHT, OP_BRANCH_PRUNE, OP_EMIT_HIT) which is interpreted by the internal register-based Virtual Machine.</w:t>
      </w:r>
    </w:p>
    <w:p>
      <w:pPr>
        <w:pStyle w:val="IEEEHeading2"/>
        <w:rPr/>
      </w:pPr>
      <w:r>
        <w:rPr>
          <w:b/>
          <w:bCs/>
          <w:i/>
        </w:rPr>
        <w:t>C. Multi-Strand Chromosome Coordinate Mapping</w:t>
      </w:r>
    </w:p>
    <w:p>
      <w:pPr>
        <w:pStyle w:val="BodyText"/>
        <w:rPr/>
      </w:pPr>
      <w:r>
        <w:rPr/>
        <w:tab/>
        <w:t>It should be noted that the structure of DNA is that of a double helix that is made of two anti-parallel strands. A transcription factor can then attach itself to either the forward (+) Watson strand or the reverse (-) Crick strand. In cases where there is a match on the reverse complement at index i in the interval of [0, N - L]:</w:t>
      </w:r>
    </w:p>
    <w:p>
      <w:pPr>
        <w:pStyle w:val="Normal"/>
        <w:spacing w:before="80" w:after="80"/>
        <w:jc w:val="center"/>
        <w:rPr/>
      </w:pPr>
      <w:r>
        <w:rPr>
          <w:rFonts w:ascii="Cambria Math" w:hAnsi="Cambria Math"/>
          <w:i/>
        </w:rPr>
        <w:t>GenomicStart = C_start + (N - i - L),    GenomicEnd = C_start + (N - i)</w:t>
      </w:r>
    </w:p>
    <w:p>
      <w:pPr>
        <w:pStyle w:val="IEEEHeading1"/>
        <w:rPr>
          <w:b/>
          <w:smallCaps/>
        </w:rPr>
      </w:pPr>
      <w:r>
        <w:rPr>
          <w:b/>
          <w:smallCaps/>
        </w:rPr>
      </w:r>
    </w:p>
    <w:p>
      <w:pPr>
        <w:pStyle w:val="IEEEHeading1"/>
        <w:rPr>
          <w:b/>
          <w:smallCaps/>
        </w:rPr>
      </w:pPr>
      <w:r>
        <w:rPr>
          <w:b/>
          <w:smallCaps/>
        </w:rPr>
        <w:t>V. EXPERIMENTAL EVALUATION &amp; RESULTS</w:t>
      </w:r>
    </w:p>
    <w:p>
      <w:pPr>
        <w:pStyle w:val="IEEEHeading2"/>
        <w:rPr>
          <w:b/>
          <w:bCs/>
        </w:rPr>
      </w:pPr>
      <w:r>
        <w:rPr>
          <w:b/>
          <w:bCs/>
          <w:i/>
        </w:rPr>
        <w:t>A. Experimental Setup and Benchmark Datasets</w:t>
      </w:r>
    </w:p>
    <w:p>
      <w:pPr>
        <w:pStyle w:val="IEEEBody"/>
        <w:rPr/>
      </w:pPr>
      <w:r>
        <w:rPr/>
        <w:tab/>
        <w:t>Guided by an Apple M-series processor (macOS Darwin arm64) executing Python version 3.10, the experiments were executed. Evaluation of the benchmark was carried out against 20 validated profiles of transcription factors from the JASPAR database and 20 biological targets that included 10 human disease-associated genetic loci and 10 viral pathogens and model organisms.</w:t>
      </w:r>
    </w:p>
    <w:p>
      <w:pPr>
        <w:pStyle w:val="IEEEHeading2"/>
        <w:rPr>
          <w:b/>
          <w:bCs/>
        </w:rPr>
      </w:pPr>
      <w:r>
        <w:rPr>
          <w:b/>
          <w:bCs/>
          <w:i/>
        </w:rPr>
        <w:t>B. Detection Accuracy and ROC Curve Analysis</w:t>
      </w:r>
    </w:p>
    <w:p>
      <w:pPr>
        <w:pStyle w:val="IEEEBody"/>
        <w:rPr/>
      </w:pPr>
      <w:r>
        <w:rPr/>
        <w:tab/>
        <w:t xml:space="preserve">The experiments were performed using an Apple M-series processor (macOS combined Darwin arm64) and Python version 3.10. The results of the benchmark were analyzed against 20 recognized transcription factor profiles obtained from the JASPAR database and 20 biological entities, which include 10 genes associated with human diseases and 10 viruses and model organisms. </w:t>
      </w:r>
    </w:p>
    <w:p>
      <w:pPr>
        <w:pStyle w:val="Normal"/>
        <w:spacing w:before="120" w:after="40"/>
        <w:jc w:val="center"/>
        <w:rPr/>
      </w:pPr>
      <w:r>
        <w:rPr>
          <w:b/>
          <w:smallCaps/>
          <w:sz w:val="18"/>
        </w:rPr>
        <w:t>TABLE I: CONFUSION MATRIX &amp; PERFORMANCE ACROSS OPERATING THRESHOLDS (GATA1 MOTIF)</w:t>
      </w:r>
    </w:p>
    <w:tbl>
      <w:tblPr>
        <w:tblW w:w="9200" w:type="dxa"/>
        <w:jc w:val="center"/>
        <w:tblInd w:w="0" w:type="dxa"/>
        <w:tblLayout w:type="fixed"/>
        <w:tblCellMar>
          <w:top w:w="0" w:type="dxa"/>
          <w:left w:w="108" w:type="dxa"/>
          <w:bottom w:w="0" w:type="dxa"/>
          <w:right w:w="108" w:type="dxa"/>
        </w:tblCellMar>
      </w:tblPr>
      <w:tblGrid>
        <w:gridCol w:w="1149"/>
        <w:gridCol w:w="1150"/>
        <w:gridCol w:w="1150"/>
        <w:gridCol w:w="1150"/>
        <w:gridCol w:w="1150"/>
        <w:gridCol w:w="1150"/>
        <w:gridCol w:w="1150"/>
        <w:gridCol w:w="1151"/>
      </w:tblGrid>
      <w:tr>
        <w:trPr/>
        <w:tc>
          <w:tcPr>
            <w:tcW w:w="1149" w:type="dxa"/>
            <w:tcBorders>
              <w:top w:val="single" w:sz="8" w:space="0" w:color="000000"/>
              <w:bottom w:val="single" w:sz="8" w:space="0" w:color="000000"/>
            </w:tcBorders>
            <w:shd w:color="auto" w:fill="F3F4F6" w:val="clear"/>
          </w:tcPr>
          <w:p>
            <w:pPr>
              <w:pStyle w:val="Normal"/>
              <w:spacing w:before="40" w:after="40"/>
              <w:jc w:val="center"/>
              <w:rPr/>
            </w:pPr>
            <w:r>
              <w:rPr>
                <w:b/>
                <w:sz w:val="17"/>
              </w:rPr>
              <w:t>Threshold T</w:t>
            </w:r>
          </w:p>
        </w:tc>
        <w:tc>
          <w:tcPr>
            <w:tcW w:w="1150" w:type="dxa"/>
            <w:tcBorders>
              <w:top w:val="single" w:sz="8" w:space="0" w:color="000000"/>
              <w:bottom w:val="single" w:sz="8" w:space="0" w:color="000000"/>
            </w:tcBorders>
            <w:shd w:color="auto" w:fill="F3F4F6" w:val="clear"/>
          </w:tcPr>
          <w:p>
            <w:pPr>
              <w:pStyle w:val="Normal"/>
              <w:spacing w:before="40" w:after="40"/>
              <w:jc w:val="center"/>
              <w:rPr/>
            </w:pPr>
            <w:r>
              <w:rPr>
                <w:b/>
                <w:sz w:val="17"/>
              </w:rPr>
              <w:t>TP</w:t>
            </w:r>
          </w:p>
        </w:tc>
        <w:tc>
          <w:tcPr>
            <w:tcW w:w="1150" w:type="dxa"/>
            <w:tcBorders>
              <w:top w:val="single" w:sz="8" w:space="0" w:color="000000"/>
              <w:bottom w:val="single" w:sz="8" w:space="0" w:color="000000"/>
            </w:tcBorders>
            <w:shd w:color="auto" w:fill="F3F4F6" w:val="clear"/>
          </w:tcPr>
          <w:p>
            <w:pPr>
              <w:pStyle w:val="Normal"/>
              <w:spacing w:before="40" w:after="40"/>
              <w:jc w:val="center"/>
              <w:rPr/>
            </w:pPr>
            <w:r>
              <w:rPr>
                <w:b/>
                <w:sz w:val="17"/>
              </w:rPr>
              <w:t>FP</w:t>
            </w:r>
          </w:p>
        </w:tc>
        <w:tc>
          <w:tcPr>
            <w:tcW w:w="1150" w:type="dxa"/>
            <w:tcBorders>
              <w:top w:val="single" w:sz="8" w:space="0" w:color="000000"/>
              <w:bottom w:val="single" w:sz="8" w:space="0" w:color="000000"/>
            </w:tcBorders>
            <w:shd w:color="auto" w:fill="F3F4F6" w:val="clear"/>
          </w:tcPr>
          <w:p>
            <w:pPr>
              <w:pStyle w:val="Normal"/>
              <w:spacing w:before="40" w:after="40"/>
              <w:jc w:val="center"/>
              <w:rPr/>
            </w:pPr>
            <w:r>
              <w:rPr>
                <w:b/>
                <w:sz w:val="17"/>
              </w:rPr>
              <w:t>FN</w:t>
            </w:r>
          </w:p>
        </w:tc>
        <w:tc>
          <w:tcPr>
            <w:tcW w:w="1150" w:type="dxa"/>
            <w:tcBorders>
              <w:top w:val="single" w:sz="8" w:space="0" w:color="000000"/>
              <w:bottom w:val="single" w:sz="8" w:space="0" w:color="000000"/>
            </w:tcBorders>
            <w:shd w:color="auto" w:fill="F3F4F6" w:val="clear"/>
          </w:tcPr>
          <w:p>
            <w:pPr>
              <w:pStyle w:val="Normal"/>
              <w:spacing w:before="40" w:after="40"/>
              <w:jc w:val="center"/>
              <w:rPr/>
            </w:pPr>
            <w:r>
              <w:rPr>
                <w:b/>
                <w:sz w:val="17"/>
              </w:rPr>
              <w:t>Precision</w:t>
            </w:r>
          </w:p>
        </w:tc>
        <w:tc>
          <w:tcPr>
            <w:tcW w:w="1150" w:type="dxa"/>
            <w:tcBorders>
              <w:top w:val="single" w:sz="8" w:space="0" w:color="000000"/>
              <w:bottom w:val="single" w:sz="8" w:space="0" w:color="000000"/>
            </w:tcBorders>
            <w:shd w:color="auto" w:fill="F3F4F6" w:val="clear"/>
          </w:tcPr>
          <w:p>
            <w:pPr>
              <w:pStyle w:val="Normal"/>
              <w:spacing w:before="40" w:after="40"/>
              <w:jc w:val="center"/>
              <w:rPr/>
            </w:pPr>
            <w:r>
              <w:rPr>
                <w:b/>
                <w:sz w:val="17"/>
              </w:rPr>
              <w:t>Recall</w:t>
            </w:r>
          </w:p>
        </w:tc>
        <w:tc>
          <w:tcPr>
            <w:tcW w:w="1150" w:type="dxa"/>
            <w:tcBorders>
              <w:top w:val="single" w:sz="8" w:space="0" w:color="000000"/>
              <w:bottom w:val="single" w:sz="8" w:space="0" w:color="000000"/>
            </w:tcBorders>
            <w:shd w:color="auto" w:fill="F3F4F6" w:val="clear"/>
          </w:tcPr>
          <w:p>
            <w:pPr>
              <w:pStyle w:val="Normal"/>
              <w:spacing w:before="40" w:after="40"/>
              <w:jc w:val="center"/>
              <w:rPr/>
            </w:pPr>
            <w:r>
              <w:rPr>
                <w:b/>
                <w:sz w:val="17"/>
              </w:rPr>
              <w:t>F1</w:t>
            </w:r>
          </w:p>
        </w:tc>
        <w:tc>
          <w:tcPr>
            <w:tcW w:w="1151" w:type="dxa"/>
            <w:tcBorders>
              <w:top w:val="single" w:sz="8" w:space="0" w:color="000000"/>
              <w:bottom w:val="single" w:sz="8" w:space="0" w:color="000000"/>
            </w:tcBorders>
            <w:shd w:color="auto" w:fill="F3F4F6" w:val="clear"/>
          </w:tcPr>
          <w:p>
            <w:pPr>
              <w:pStyle w:val="Normal"/>
              <w:spacing w:before="40" w:after="40"/>
              <w:jc w:val="center"/>
              <w:rPr/>
            </w:pPr>
            <w:r>
              <w:rPr>
                <w:b/>
                <w:sz w:val="17"/>
              </w:rPr>
              <w:t>MCC</w:t>
            </w:r>
          </w:p>
        </w:tc>
      </w:tr>
      <w:tr>
        <w:trPr/>
        <w:tc>
          <w:tcPr>
            <w:tcW w:w="1149" w:type="dxa"/>
            <w:tcBorders/>
          </w:tcPr>
          <w:p>
            <w:pPr>
              <w:pStyle w:val="Normal"/>
              <w:spacing w:before="30" w:after="30"/>
              <w:jc w:val="center"/>
              <w:rPr/>
            </w:pPr>
            <w:r>
              <w:rPr>
                <w:sz w:val="17"/>
              </w:rPr>
              <w:t>2.26</w:t>
            </w:r>
          </w:p>
        </w:tc>
        <w:tc>
          <w:tcPr>
            <w:tcW w:w="1150" w:type="dxa"/>
            <w:tcBorders/>
          </w:tcPr>
          <w:p>
            <w:pPr>
              <w:pStyle w:val="Normal"/>
              <w:spacing w:before="30" w:after="30"/>
              <w:jc w:val="center"/>
              <w:rPr/>
            </w:pPr>
            <w:r>
              <w:rPr>
                <w:sz w:val="17"/>
              </w:rPr>
              <w:t>35</w:t>
            </w:r>
          </w:p>
        </w:tc>
        <w:tc>
          <w:tcPr>
            <w:tcW w:w="1150" w:type="dxa"/>
            <w:tcBorders/>
          </w:tcPr>
          <w:p>
            <w:pPr>
              <w:pStyle w:val="Normal"/>
              <w:spacing w:before="30" w:after="30"/>
              <w:jc w:val="center"/>
              <w:rPr/>
            </w:pPr>
            <w:r>
              <w:rPr>
                <w:sz w:val="17"/>
              </w:rPr>
              <w:t>87</w:t>
            </w:r>
          </w:p>
        </w:tc>
        <w:tc>
          <w:tcPr>
            <w:tcW w:w="1150" w:type="dxa"/>
            <w:tcBorders/>
          </w:tcPr>
          <w:p>
            <w:pPr>
              <w:pStyle w:val="Normal"/>
              <w:spacing w:before="30" w:after="30"/>
              <w:jc w:val="center"/>
              <w:rPr/>
            </w:pPr>
            <w:r>
              <w:rPr>
                <w:sz w:val="17"/>
              </w:rPr>
              <w:t>0</w:t>
            </w:r>
          </w:p>
        </w:tc>
        <w:tc>
          <w:tcPr>
            <w:tcW w:w="1150" w:type="dxa"/>
            <w:tcBorders/>
          </w:tcPr>
          <w:p>
            <w:pPr>
              <w:pStyle w:val="Normal"/>
              <w:spacing w:before="30" w:after="30"/>
              <w:jc w:val="center"/>
              <w:rPr/>
            </w:pPr>
            <w:r>
              <w:rPr>
                <w:sz w:val="17"/>
              </w:rPr>
              <w:t>0.287</w:t>
            </w:r>
          </w:p>
        </w:tc>
        <w:tc>
          <w:tcPr>
            <w:tcW w:w="1150" w:type="dxa"/>
            <w:tcBorders/>
          </w:tcPr>
          <w:p>
            <w:pPr>
              <w:pStyle w:val="Normal"/>
              <w:spacing w:before="30" w:after="30"/>
              <w:jc w:val="center"/>
              <w:rPr/>
            </w:pPr>
            <w:r>
              <w:rPr>
                <w:sz w:val="17"/>
              </w:rPr>
              <w:t>1.000</w:t>
            </w:r>
          </w:p>
        </w:tc>
        <w:tc>
          <w:tcPr>
            <w:tcW w:w="1150" w:type="dxa"/>
            <w:tcBorders/>
          </w:tcPr>
          <w:p>
            <w:pPr>
              <w:pStyle w:val="Normal"/>
              <w:spacing w:before="30" w:after="30"/>
              <w:jc w:val="center"/>
              <w:rPr/>
            </w:pPr>
            <w:r>
              <w:rPr>
                <w:sz w:val="17"/>
              </w:rPr>
              <w:t>0.446</w:t>
            </w:r>
          </w:p>
        </w:tc>
        <w:tc>
          <w:tcPr>
            <w:tcW w:w="1151" w:type="dxa"/>
            <w:tcBorders/>
          </w:tcPr>
          <w:p>
            <w:pPr>
              <w:pStyle w:val="Normal"/>
              <w:spacing w:before="30" w:after="30"/>
              <w:jc w:val="center"/>
              <w:rPr/>
            </w:pPr>
            <w:r>
              <w:rPr>
                <w:sz w:val="17"/>
              </w:rPr>
              <w:t>0.531</w:t>
            </w:r>
          </w:p>
        </w:tc>
      </w:tr>
      <w:tr>
        <w:trPr/>
        <w:tc>
          <w:tcPr>
            <w:tcW w:w="1149" w:type="dxa"/>
            <w:tcBorders/>
          </w:tcPr>
          <w:p>
            <w:pPr>
              <w:pStyle w:val="Normal"/>
              <w:spacing w:before="30" w:after="30"/>
              <w:jc w:val="center"/>
              <w:rPr/>
            </w:pPr>
            <w:r>
              <w:rPr>
                <w:sz w:val="17"/>
              </w:rPr>
              <w:t>3.78</w:t>
            </w:r>
          </w:p>
        </w:tc>
        <w:tc>
          <w:tcPr>
            <w:tcW w:w="1150" w:type="dxa"/>
            <w:tcBorders/>
          </w:tcPr>
          <w:p>
            <w:pPr>
              <w:pStyle w:val="Normal"/>
              <w:spacing w:before="30" w:after="30"/>
              <w:jc w:val="center"/>
              <w:rPr/>
            </w:pPr>
            <w:r>
              <w:rPr>
                <w:sz w:val="17"/>
              </w:rPr>
              <w:t>35</w:t>
            </w:r>
          </w:p>
        </w:tc>
        <w:tc>
          <w:tcPr>
            <w:tcW w:w="1150" w:type="dxa"/>
            <w:tcBorders/>
          </w:tcPr>
          <w:p>
            <w:pPr>
              <w:pStyle w:val="Normal"/>
              <w:spacing w:before="30" w:after="30"/>
              <w:jc w:val="center"/>
              <w:rPr/>
            </w:pPr>
            <w:r>
              <w:rPr>
                <w:sz w:val="17"/>
              </w:rPr>
              <w:t>31</w:t>
            </w:r>
          </w:p>
        </w:tc>
        <w:tc>
          <w:tcPr>
            <w:tcW w:w="1150" w:type="dxa"/>
            <w:tcBorders/>
          </w:tcPr>
          <w:p>
            <w:pPr>
              <w:pStyle w:val="Normal"/>
              <w:spacing w:before="30" w:after="30"/>
              <w:jc w:val="center"/>
              <w:rPr/>
            </w:pPr>
            <w:r>
              <w:rPr>
                <w:sz w:val="17"/>
              </w:rPr>
              <w:t>0</w:t>
            </w:r>
          </w:p>
        </w:tc>
        <w:tc>
          <w:tcPr>
            <w:tcW w:w="1150" w:type="dxa"/>
            <w:tcBorders/>
          </w:tcPr>
          <w:p>
            <w:pPr>
              <w:pStyle w:val="Normal"/>
              <w:spacing w:before="30" w:after="30"/>
              <w:jc w:val="center"/>
              <w:rPr/>
            </w:pPr>
            <w:r>
              <w:rPr>
                <w:sz w:val="17"/>
              </w:rPr>
              <w:t>0.530</w:t>
            </w:r>
          </w:p>
        </w:tc>
        <w:tc>
          <w:tcPr>
            <w:tcW w:w="1150" w:type="dxa"/>
            <w:tcBorders/>
          </w:tcPr>
          <w:p>
            <w:pPr>
              <w:pStyle w:val="Normal"/>
              <w:spacing w:before="30" w:after="30"/>
              <w:jc w:val="center"/>
              <w:rPr/>
            </w:pPr>
            <w:r>
              <w:rPr>
                <w:sz w:val="17"/>
              </w:rPr>
              <w:t>1.000</w:t>
            </w:r>
          </w:p>
        </w:tc>
        <w:tc>
          <w:tcPr>
            <w:tcW w:w="1150" w:type="dxa"/>
            <w:tcBorders/>
          </w:tcPr>
          <w:p>
            <w:pPr>
              <w:pStyle w:val="Normal"/>
              <w:spacing w:before="30" w:after="30"/>
              <w:jc w:val="center"/>
              <w:rPr/>
            </w:pPr>
            <w:r>
              <w:rPr>
                <w:sz w:val="17"/>
              </w:rPr>
              <w:t>0.693</w:t>
            </w:r>
          </w:p>
        </w:tc>
        <w:tc>
          <w:tcPr>
            <w:tcW w:w="1151" w:type="dxa"/>
            <w:tcBorders/>
          </w:tcPr>
          <w:p>
            <w:pPr>
              <w:pStyle w:val="Normal"/>
              <w:spacing w:before="30" w:after="30"/>
              <w:jc w:val="center"/>
              <w:rPr/>
            </w:pPr>
            <w:r>
              <w:rPr>
                <w:sz w:val="17"/>
              </w:rPr>
              <w:t>0.726</w:t>
            </w:r>
          </w:p>
        </w:tc>
      </w:tr>
      <w:tr>
        <w:trPr/>
        <w:tc>
          <w:tcPr>
            <w:tcW w:w="1149" w:type="dxa"/>
            <w:tcBorders/>
          </w:tcPr>
          <w:p>
            <w:pPr>
              <w:pStyle w:val="Normal"/>
              <w:spacing w:before="30" w:after="30"/>
              <w:jc w:val="center"/>
              <w:rPr/>
            </w:pPr>
            <w:r>
              <w:rPr>
                <w:sz w:val="17"/>
              </w:rPr>
              <w:t>5.31</w:t>
            </w:r>
          </w:p>
        </w:tc>
        <w:tc>
          <w:tcPr>
            <w:tcW w:w="1150" w:type="dxa"/>
            <w:tcBorders/>
          </w:tcPr>
          <w:p>
            <w:pPr>
              <w:pStyle w:val="Normal"/>
              <w:spacing w:before="30" w:after="30"/>
              <w:jc w:val="center"/>
              <w:rPr/>
            </w:pPr>
            <w:r>
              <w:rPr>
                <w:sz w:val="17"/>
              </w:rPr>
              <w:t>35</w:t>
            </w:r>
          </w:p>
        </w:tc>
        <w:tc>
          <w:tcPr>
            <w:tcW w:w="1150" w:type="dxa"/>
            <w:tcBorders/>
          </w:tcPr>
          <w:p>
            <w:pPr>
              <w:pStyle w:val="Normal"/>
              <w:spacing w:before="30" w:after="30"/>
              <w:jc w:val="center"/>
              <w:rPr/>
            </w:pPr>
            <w:r>
              <w:rPr>
                <w:sz w:val="17"/>
              </w:rPr>
              <w:t>11</w:t>
            </w:r>
          </w:p>
        </w:tc>
        <w:tc>
          <w:tcPr>
            <w:tcW w:w="1150" w:type="dxa"/>
            <w:tcBorders/>
          </w:tcPr>
          <w:p>
            <w:pPr>
              <w:pStyle w:val="Normal"/>
              <w:spacing w:before="30" w:after="30"/>
              <w:jc w:val="center"/>
              <w:rPr/>
            </w:pPr>
            <w:r>
              <w:rPr>
                <w:sz w:val="17"/>
              </w:rPr>
              <w:t>0</w:t>
            </w:r>
          </w:p>
        </w:tc>
        <w:tc>
          <w:tcPr>
            <w:tcW w:w="1150" w:type="dxa"/>
            <w:tcBorders/>
          </w:tcPr>
          <w:p>
            <w:pPr>
              <w:pStyle w:val="Normal"/>
              <w:spacing w:before="30" w:after="30"/>
              <w:jc w:val="center"/>
              <w:rPr/>
            </w:pPr>
            <w:r>
              <w:rPr>
                <w:sz w:val="17"/>
              </w:rPr>
              <w:t>0.761</w:t>
            </w:r>
          </w:p>
        </w:tc>
        <w:tc>
          <w:tcPr>
            <w:tcW w:w="1150" w:type="dxa"/>
            <w:tcBorders/>
          </w:tcPr>
          <w:p>
            <w:pPr>
              <w:pStyle w:val="Normal"/>
              <w:spacing w:before="30" w:after="30"/>
              <w:jc w:val="center"/>
              <w:rPr/>
            </w:pPr>
            <w:r>
              <w:rPr>
                <w:sz w:val="17"/>
              </w:rPr>
              <w:t>1.000</w:t>
            </w:r>
          </w:p>
        </w:tc>
        <w:tc>
          <w:tcPr>
            <w:tcW w:w="1150" w:type="dxa"/>
            <w:tcBorders/>
          </w:tcPr>
          <w:p>
            <w:pPr>
              <w:pStyle w:val="Normal"/>
              <w:spacing w:before="30" w:after="30"/>
              <w:jc w:val="center"/>
              <w:rPr/>
            </w:pPr>
            <w:r>
              <w:rPr>
                <w:sz w:val="17"/>
              </w:rPr>
              <w:t>0.864</w:t>
            </w:r>
          </w:p>
        </w:tc>
        <w:tc>
          <w:tcPr>
            <w:tcW w:w="1151" w:type="dxa"/>
            <w:tcBorders/>
          </w:tcPr>
          <w:p>
            <w:pPr>
              <w:pStyle w:val="Normal"/>
              <w:spacing w:before="30" w:after="30"/>
              <w:jc w:val="center"/>
              <w:rPr/>
            </w:pPr>
            <w:r>
              <w:rPr>
                <w:sz w:val="17"/>
              </w:rPr>
              <w:t>0.871</w:t>
            </w:r>
          </w:p>
        </w:tc>
      </w:tr>
      <w:tr>
        <w:trPr/>
        <w:tc>
          <w:tcPr>
            <w:tcW w:w="1149" w:type="dxa"/>
            <w:tcBorders/>
          </w:tcPr>
          <w:p>
            <w:pPr>
              <w:pStyle w:val="Normal"/>
              <w:spacing w:before="30" w:after="30"/>
              <w:jc w:val="center"/>
              <w:rPr/>
            </w:pPr>
            <w:r>
              <w:rPr>
                <w:sz w:val="17"/>
              </w:rPr>
              <w:t>6.83 (Opt)</w:t>
            </w:r>
          </w:p>
        </w:tc>
        <w:tc>
          <w:tcPr>
            <w:tcW w:w="1150" w:type="dxa"/>
            <w:tcBorders/>
          </w:tcPr>
          <w:p>
            <w:pPr>
              <w:pStyle w:val="Normal"/>
              <w:spacing w:before="30" w:after="30"/>
              <w:jc w:val="center"/>
              <w:rPr/>
            </w:pPr>
            <w:r>
              <w:rPr>
                <w:sz w:val="17"/>
              </w:rPr>
              <w:t>34</w:t>
            </w:r>
          </w:p>
        </w:tc>
        <w:tc>
          <w:tcPr>
            <w:tcW w:w="1150" w:type="dxa"/>
            <w:tcBorders/>
          </w:tcPr>
          <w:p>
            <w:pPr>
              <w:pStyle w:val="Normal"/>
              <w:spacing w:before="30" w:after="30"/>
              <w:jc w:val="center"/>
              <w:rPr/>
            </w:pPr>
            <w:r>
              <w:rPr>
                <w:sz w:val="17"/>
              </w:rPr>
              <w:t>1</w:t>
            </w:r>
          </w:p>
        </w:tc>
        <w:tc>
          <w:tcPr>
            <w:tcW w:w="1150" w:type="dxa"/>
            <w:tcBorders/>
          </w:tcPr>
          <w:p>
            <w:pPr>
              <w:pStyle w:val="Normal"/>
              <w:spacing w:before="30" w:after="30"/>
              <w:jc w:val="center"/>
              <w:rPr/>
            </w:pPr>
            <w:r>
              <w:rPr>
                <w:sz w:val="17"/>
              </w:rPr>
              <w:t>1</w:t>
            </w:r>
          </w:p>
        </w:tc>
        <w:tc>
          <w:tcPr>
            <w:tcW w:w="1150" w:type="dxa"/>
            <w:tcBorders/>
          </w:tcPr>
          <w:p>
            <w:pPr>
              <w:pStyle w:val="Normal"/>
              <w:spacing w:before="30" w:after="30"/>
              <w:jc w:val="center"/>
              <w:rPr/>
            </w:pPr>
            <w:r>
              <w:rPr>
                <w:sz w:val="17"/>
              </w:rPr>
              <w:t>0.971</w:t>
            </w:r>
          </w:p>
        </w:tc>
        <w:tc>
          <w:tcPr>
            <w:tcW w:w="1150" w:type="dxa"/>
            <w:tcBorders/>
          </w:tcPr>
          <w:p>
            <w:pPr>
              <w:pStyle w:val="Normal"/>
              <w:spacing w:before="30" w:after="30"/>
              <w:jc w:val="center"/>
              <w:rPr/>
            </w:pPr>
            <w:r>
              <w:rPr>
                <w:sz w:val="17"/>
              </w:rPr>
              <w:t>0.971</w:t>
            </w:r>
          </w:p>
        </w:tc>
        <w:tc>
          <w:tcPr>
            <w:tcW w:w="1150" w:type="dxa"/>
            <w:tcBorders/>
          </w:tcPr>
          <w:p>
            <w:pPr>
              <w:pStyle w:val="Normal"/>
              <w:spacing w:before="30" w:after="30"/>
              <w:jc w:val="center"/>
              <w:rPr/>
            </w:pPr>
            <w:r>
              <w:rPr>
                <w:sz w:val="17"/>
              </w:rPr>
              <w:t>0.971</w:t>
            </w:r>
          </w:p>
        </w:tc>
        <w:tc>
          <w:tcPr>
            <w:tcW w:w="1151" w:type="dxa"/>
            <w:tcBorders/>
          </w:tcPr>
          <w:p>
            <w:pPr>
              <w:pStyle w:val="Normal"/>
              <w:spacing w:before="30" w:after="30"/>
              <w:jc w:val="center"/>
              <w:rPr/>
            </w:pPr>
            <w:r>
              <w:rPr>
                <w:sz w:val="17"/>
              </w:rPr>
              <w:t>0.971</w:t>
            </w:r>
          </w:p>
        </w:tc>
      </w:tr>
      <w:tr>
        <w:trPr/>
        <w:tc>
          <w:tcPr>
            <w:tcW w:w="1149" w:type="dxa"/>
            <w:tcBorders/>
          </w:tcPr>
          <w:p>
            <w:pPr>
              <w:pStyle w:val="Normal"/>
              <w:spacing w:before="30" w:after="30"/>
              <w:jc w:val="center"/>
              <w:rPr/>
            </w:pPr>
            <w:r>
              <w:rPr>
                <w:sz w:val="17"/>
              </w:rPr>
              <w:t>8.35</w:t>
            </w:r>
          </w:p>
        </w:tc>
        <w:tc>
          <w:tcPr>
            <w:tcW w:w="1150" w:type="dxa"/>
            <w:tcBorders/>
          </w:tcPr>
          <w:p>
            <w:pPr>
              <w:pStyle w:val="Normal"/>
              <w:spacing w:before="30" w:after="30"/>
              <w:jc w:val="center"/>
              <w:rPr/>
            </w:pPr>
            <w:r>
              <w:rPr>
                <w:sz w:val="17"/>
              </w:rPr>
              <w:t>30</w:t>
            </w:r>
          </w:p>
        </w:tc>
        <w:tc>
          <w:tcPr>
            <w:tcW w:w="1150" w:type="dxa"/>
            <w:tcBorders/>
          </w:tcPr>
          <w:p>
            <w:pPr>
              <w:pStyle w:val="Normal"/>
              <w:spacing w:before="30" w:after="30"/>
              <w:jc w:val="center"/>
              <w:rPr/>
            </w:pPr>
            <w:r>
              <w:rPr>
                <w:sz w:val="17"/>
              </w:rPr>
              <w:t>0</w:t>
            </w:r>
          </w:p>
        </w:tc>
        <w:tc>
          <w:tcPr>
            <w:tcW w:w="1150" w:type="dxa"/>
            <w:tcBorders/>
          </w:tcPr>
          <w:p>
            <w:pPr>
              <w:pStyle w:val="Normal"/>
              <w:spacing w:before="30" w:after="30"/>
              <w:jc w:val="center"/>
              <w:rPr/>
            </w:pPr>
            <w:r>
              <w:rPr>
                <w:sz w:val="17"/>
              </w:rPr>
              <w:t>5</w:t>
            </w:r>
          </w:p>
        </w:tc>
        <w:tc>
          <w:tcPr>
            <w:tcW w:w="1150" w:type="dxa"/>
            <w:tcBorders/>
          </w:tcPr>
          <w:p>
            <w:pPr>
              <w:pStyle w:val="Normal"/>
              <w:spacing w:before="30" w:after="30"/>
              <w:jc w:val="center"/>
              <w:rPr/>
            </w:pPr>
            <w:r>
              <w:rPr>
                <w:sz w:val="17"/>
              </w:rPr>
              <w:t>1.000</w:t>
            </w:r>
          </w:p>
        </w:tc>
        <w:tc>
          <w:tcPr>
            <w:tcW w:w="1150" w:type="dxa"/>
            <w:tcBorders/>
          </w:tcPr>
          <w:p>
            <w:pPr>
              <w:pStyle w:val="Normal"/>
              <w:spacing w:before="30" w:after="30"/>
              <w:jc w:val="center"/>
              <w:rPr/>
            </w:pPr>
            <w:r>
              <w:rPr>
                <w:sz w:val="17"/>
              </w:rPr>
              <w:t>0.857</w:t>
            </w:r>
          </w:p>
        </w:tc>
        <w:tc>
          <w:tcPr>
            <w:tcW w:w="1150" w:type="dxa"/>
            <w:tcBorders/>
          </w:tcPr>
          <w:p>
            <w:pPr>
              <w:pStyle w:val="Normal"/>
              <w:spacing w:before="30" w:after="30"/>
              <w:jc w:val="center"/>
              <w:rPr/>
            </w:pPr>
            <w:r>
              <w:rPr>
                <w:sz w:val="17"/>
              </w:rPr>
              <w:t>0.923</w:t>
            </w:r>
          </w:p>
        </w:tc>
        <w:tc>
          <w:tcPr>
            <w:tcW w:w="1151" w:type="dxa"/>
            <w:tcBorders/>
          </w:tcPr>
          <w:p>
            <w:pPr>
              <w:pStyle w:val="Normal"/>
              <w:spacing w:before="30" w:after="30"/>
              <w:jc w:val="center"/>
              <w:rPr/>
            </w:pPr>
            <w:r>
              <w:rPr>
                <w:sz w:val="17"/>
              </w:rPr>
              <w:t>0.925</w:t>
            </w:r>
          </w:p>
        </w:tc>
      </w:tr>
      <w:tr>
        <w:trPr/>
        <w:tc>
          <w:tcPr>
            <w:tcW w:w="1149" w:type="dxa"/>
            <w:tcBorders>
              <w:bottom w:val="single" w:sz="8" w:space="0" w:color="000000"/>
            </w:tcBorders>
          </w:tcPr>
          <w:p>
            <w:pPr>
              <w:pStyle w:val="Normal"/>
              <w:spacing w:before="30" w:after="30"/>
              <w:jc w:val="center"/>
              <w:rPr/>
            </w:pPr>
            <w:r>
              <w:rPr>
                <w:sz w:val="17"/>
              </w:rPr>
              <w:t>9.87</w:t>
            </w:r>
          </w:p>
        </w:tc>
        <w:tc>
          <w:tcPr>
            <w:tcW w:w="1150" w:type="dxa"/>
            <w:tcBorders>
              <w:bottom w:val="single" w:sz="8" w:space="0" w:color="000000"/>
            </w:tcBorders>
          </w:tcPr>
          <w:p>
            <w:pPr>
              <w:pStyle w:val="Normal"/>
              <w:spacing w:before="30" w:after="30"/>
              <w:jc w:val="center"/>
              <w:rPr/>
            </w:pPr>
            <w:r>
              <w:rPr>
                <w:sz w:val="17"/>
              </w:rPr>
              <w:t>24</w:t>
            </w:r>
          </w:p>
        </w:tc>
        <w:tc>
          <w:tcPr>
            <w:tcW w:w="1150" w:type="dxa"/>
            <w:tcBorders>
              <w:bottom w:val="single" w:sz="8" w:space="0" w:color="000000"/>
            </w:tcBorders>
          </w:tcPr>
          <w:p>
            <w:pPr>
              <w:pStyle w:val="Normal"/>
              <w:spacing w:before="30" w:after="30"/>
              <w:jc w:val="center"/>
              <w:rPr/>
            </w:pPr>
            <w:r>
              <w:rPr>
                <w:sz w:val="17"/>
              </w:rPr>
              <w:t>0</w:t>
            </w:r>
          </w:p>
        </w:tc>
        <w:tc>
          <w:tcPr>
            <w:tcW w:w="1150" w:type="dxa"/>
            <w:tcBorders>
              <w:bottom w:val="single" w:sz="8" w:space="0" w:color="000000"/>
            </w:tcBorders>
          </w:tcPr>
          <w:p>
            <w:pPr>
              <w:pStyle w:val="Normal"/>
              <w:spacing w:before="30" w:after="30"/>
              <w:jc w:val="center"/>
              <w:rPr/>
            </w:pPr>
            <w:r>
              <w:rPr>
                <w:sz w:val="17"/>
              </w:rPr>
              <w:t>11</w:t>
            </w:r>
          </w:p>
        </w:tc>
        <w:tc>
          <w:tcPr>
            <w:tcW w:w="1150" w:type="dxa"/>
            <w:tcBorders>
              <w:bottom w:val="single" w:sz="8" w:space="0" w:color="000000"/>
            </w:tcBorders>
          </w:tcPr>
          <w:p>
            <w:pPr>
              <w:pStyle w:val="Normal"/>
              <w:spacing w:before="30" w:after="30"/>
              <w:jc w:val="center"/>
              <w:rPr/>
            </w:pPr>
            <w:r>
              <w:rPr>
                <w:sz w:val="17"/>
              </w:rPr>
              <w:t>1.000</w:t>
            </w:r>
          </w:p>
        </w:tc>
        <w:tc>
          <w:tcPr>
            <w:tcW w:w="1150" w:type="dxa"/>
            <w:tcBorders>
              <w:bottom w:val="single" w:sz="8" w:space="0" w:color="000000"/>
            </w:tcBorders>
          </w:tcPr>
          <w:p>
            <w:pPr>
              <w:pStyle w:val="Normal"/>
              <w:spacing w:before="30" w:after="30"/>
              <w:jc w:val="center"/>
              <w:rPr/>
            </w:pPr>
            <w:r>
              <w:rPr>
                <w:sz w:val="17"/>
              </w:rPr>
              <w:t>0.686</w:t>
            </w:r>
          </w:p>
        </w:tc>
        <w:tc>
          <w:tcPr>
            <w:tcW w:w="1150" w:type="dxa"/>
            <w:tcBorders>
              <w:bottom w:val="single" w:sz="8" w:space="0" w:color="000000"/>
            </w:tcBorders>
          </w:tcPr>
          <w:p>
            <w:pPr>
              <w:pStyle w:val="Normal"/>
              <w:spacing w:before="30" w:after="30"/>
              <w:jc w:val="center"/>
              <w:rPr/>
            </w:pPr>
            <w:r>
              <w:rPr>
                <w:sz w:val="17"/>
              </w:rPr>
              <w:t>0.814</w:t>
            </w:r>
          </w:p>
        </w:tc>
        <w:tc>
          <w:tcPr>
            <w:tcW w:w="1151" w:type="dxa"/>
            <w:tcBorders>
              <w:bottom w:val="single" w:sz="8" w:space="0" w:color="000000"/>
            </w:tcBorders>
          </w:tcPr>
          <w:p>
            <w:pPr>
              <w:pStyle w:val="Normal"/>
              <w:spacing w:before="30" w:after="30"/>
              <w:jc w:val="center"/>
              <w:rPr/>
            </w:pPr>
            <w:r>
              <w:rPr>
                <w:sz w:val="17"/>
              </w:rPr>
              <w:t>0.827</w:t>
            </w:r>
          </w:p>
        </w:tc>
      </w:tr>
    </w:tbl>
    <w:p>
      <w:pPr>
        <w:pStyle w:val="IEEEBody"/>
        <w:widowControl/>
        <w:ind w:hanging="0" w:left="0" w:right="0"/>
        <w:jc w:val="left"/>
        <w:rPr>
          <w:rFonts w:ascii="Times New Roman" w:hAnsi="Times New Roman"/>
          <w:color w:val="000000"/>
          <w:sz w:val="20"/>
        </w:rPr>
      </w:pPr>
      <w:r>
        <w:rPr>
          <w:color w:val="000000"/>
          <w:sz w:val="20"/>
        </w:rPr>
      </w:r>
    </w:p>
    <w:p>
      <w:pPr>
        <w:pStyle w:val="IEEEBody"/>
        <w:widowControl/>
        <w:ind w:hanging="0" w:left="0" w:right="0"/>
        <w:jc w:val="left"/>
        <w:rPr/>
      </w:pPr>
      <w:r>
        <w:rPr>
          <w:color w:val="000000"/>
          <w:sz w:val="20"/>
        </w:rPr>
        <w:t>In terms of the optimum value of threshold T* = 6.83 bits, the classifier obtains F1-Score = 0.971, MCC = 0.971, and the overall AUC-ROC = 0.982.</w:t>
      </w:r>
      <w:r>
        <w:rPr/>
        <w:t xml:space="preserve"> </w:t>
      </w:r>
    </w:p>
    <w:p>
      <w:pPr>
        <w:pStyle w:val="IEEEHeading2"/>
        <w:rPr>
          <w:b/>
          <w:bCs/>
        </w:rPr>
      </w:pPr>
      <w:r>
        <w:rPr>
          <w:b/>
          <w:bCs/>
          <w:i/>
        </w:rPr>
        <w:t>C. Execution Speed and Throughput Profiling</w:t>
      </w:r>
    </w:p>
    <w:p>
      <w:pPr>
        <w:pStyle w:val="IEEEBody"/>
        <w:ind w:hanging="0" w:left="0" w:right="0"/>
        <w:jc w:val="left"/>
        <w:rPr/>
      </w:pPr>
      <w:r>
        <w:rPr/>
        <w:t xml:space="preserve">In our analysis, we compared four execution engines against genetic target sequences varying from 1,000 bp to 100,000 bp: </w:t>
      </w:r>
    </w:p>
    <w:p>
      <w:pPr>
        <w:pStyle w:val="Normal"/>
        <w:spacing w:before="120" w:after="40"/>
        <w:jc w:val="center"/>
        <w:rPr/>
      </w:pPr>
      <w:r>
        <w:rPr>
          <w:b/>
          <w:smallCaps/>
          <w:sz w:val="18"/>
        </w:rPr>
        <w:t>TABLE II: EXECUTION ENGINE PERFORMANCE COMPARISON (10,000 BP TARGET)</w:t>
      </w:r>
    </w:p>
    <w:tbl>
      <w:tblPr>
        <w:tblW w:w="9200" w:type="dxa"/>
        <w:jc w:val="center"/>
        <w:tblInd w:w="0" w:type="dxa"/>
        <w:tblLayout w:type="fixed"/>
        <w:tblCellMar>
          <w:top w:w="0" w:type="dxa"/>
          <w:left w:w="108" w:type="dxa"/>
          <w:bottom w:w="0" w:type="dxa"/>
          <w:right w:w="108" w:type="dxa"/>
        </w:tblCellMar>
      </w:tblPr>
      <w:tblGrid>
        <w:gridCol w:w="1840"/>
        <w:gridCol w:w="1840"/>
        <w:gridCol w:w="1840"/>
        <w:gridCol w:w="1840"/>
        <w:gridCol w:w="1840"/>
      </w:tblGrid>
      <w:tr>
        <w:trPr/>
        <w:tc>
          <w:tcPr>
            <w:tcW w:w="1840" w:type="dxa"/>
            <w:tcBorders>
              <w:top w:val="single" w:sz="8" w:space="0" w:color="000000"/>
              <w:bottom w:val="single" w:sz="8" w:space="0" w:color="000000"/>
            </w:tcBorders>
            <w:shd w:color="auto" w:fill="F3F4F6" w:val="clear"/>
          </w:tcPr>
          <w:p>
            <w:pPr>
              <w:pStyle w:val="Normal"/>
              <w:spacing w:before="40" w:after="40"/>
              <w:jc w:val="center"/>
              <w:rPr/>
            </w:pPr>
            <w:r>
              <w:rPr>
                <w:b/>
                <w:sz w:val="17"/>
              </w:rPr>
              <w:t>Engine Architecture</w:t>
            </w:r>
          </w:p>
        </w:tc>
        <w:tc>
          <w:tcPr>
            <w:tcW w:w="1840" w:type="dxa"/>
            <w:tcBorders>
              <w:top w:val="single" w:sz="8" w:space="0" w:color="000000"/>
              <w:bottom w:val="single" w:sz="8" w:space="0" w:color="000000"/>
            </w:tcBorders>
            <w:shd w:color="auto" w:fill="F3F4F6" w:val="clear"/>
          </w:tcPr>
          <w:p>
            <w:pPr>
              <w:pStyle w:val="Normal"/>
              <w:spacing w:before="40" w:after="40"/>
              <w:jc w:val="center"/>
              <w:rPr/>
            </w:pPr>
            <w:r>
              <w:rPr>
                <w:b/>
                <w:sz w:val="17"/>
              </w:rPr>
              <w:t>Wall Time</w:t>
            </w:r>
          </w:p>
        </w:tc>
        <w:tc>
          <w:tcPr>
            <w:tcW w:w="1840" w:type="dxa"/>
            <w:tcBorders>
              <w:top w:val="single" w:sz="8" w:space="0" w:color="000000"/>
              <w:bottom w:val="single" w:sz="8" w:space="0" w:color="000000"/>
            </w:tcBorders>
            <w:shd w:color="auto" w:fill="F3F4F6" w:val="clear"/>
          </w:tcPr>
          <w:p>
            <w:pPr>
              <w:pStyle w:val="Normal"/>
              <w:spacing w:before="40" w:after="40"/>
              <w:jc w:val="center"/>
              <w:rPr/>
            </w:pPr>
            <w:r>
              <w:rPr>
                <w:b/>
                <w:sz w:val="17"/>
              </w:rPr>
              <w:t>Throughput</w:t>
            </w:r>
          </w:p>
        </w:tc>
        <w:tc>
          <w:tcPr>
            <w:tcW w:w="1840" w:type="dxa"/>
            <w:tcBorders>
              <w:top w:val="single" w:sz="8" w:space="0" w:color="000000"/>
              <w:bottom w:val="single" w:sz="8" w:space="0" w:color="000000"/>
            </w:tcBorders>
            <w:shd w:color="auto" w:fill="F3F4F6" w:val="clear"/>
          </w:tcPr>
          <w:p>
            <w:pPr>
              <w:pStyle w:val="Normal"/>
              <w:spacing w:before="40" w:after="40"/>
              <w:jc w:val="center"/>
              <w:rPr/>
            </w:pPr>
            <w:r>
              <w:rPr>
                <w:b/>
                <w:sz w:val="17"/>
              </w:rPr>
              <w:t>Speedup</w:t>
            </w:r>
          </w:p>
        </w:tc>
        <w:tc>
          <w:tcPr>
            <w:tcW w:w="1840" w:type="dxa"/>
            <w:tcBorders>
              <w:top w:val="single" w:sz="8" w:space="0" w:color="000000"/>
              <w:bottom w:val="single" w:sz="8" w:space="0" w:color="000000"/>
            </w:tcBorders>
            <w:shd w:color="auto" w:fill="F3F4F6" w:val="clear"/>
          </w:tcPr>
          <w:p>
            <w:pPr>
              <w:pStyle w:val="Normal"/>
              <w:spacing w:before="40" w:after="40"/>
              <w:jc w:val="center"/>
              <w:rPr/>
            </w:pPr>
            <w:r>
              <w:rPr>
                <w:b/>
                <w:sz w:val="17"/>
              </w:rPr>
              <w:t>Pruning Ratio</w:t>
            </w:r>
          </w:p>
        </w:tc>
      </w:tr>
      <w:tr>
        <w:trPr/>
        <w:tc>
          <w:tcPr>
            <w:tcW w:w="1840" w:type="dxa"/>
            <w:tcBorders/>
          </w:tcPr>
          <w:p>
            <w:pPr>
              <w:pStyle w:val="Normal"/>
              <w:spacing w:before="30" w:after="30"/>
              <w:jc w:val="center"/>
              <w:rPr/>
            </w:pPr>
            <w:r>
              <w:rPr>
                <w:sz w:val="17"/>
              </w:rPr>
              <w:t>Naive Sliding Dot-Product</w:t>
            </w:r>
          </w:p>
        </w:tc>
        <w:tc>
          <w:tcPr>
            <w:tcW w:w="1840" w:type="dxa"/>
            <w:tcBorders/>
          </w:tcPr>
          <w:p>
            <w:pPr>
              <w:pStyle w:val="Normal"/>
              <w:spacing w:before="30" w:after="30"/>
              <w:jc w:val="center"/>
              <w:rPr/>
            </w:pPr>
            <w:r>
              <w:rPr>
                <w:sz w:val="17"/>
              </w:rPr>
              <w:t>18.42 ms</w:t>
            </w:r>
          </w:p>
        </w:tc>
        <w:tc>
          <w:tcPr>
            <w:tcW w:w="1840" w:type="dxa"/>
            <w:tcBorders/>
          </w:tcPr>
          <w:p>
            <w:pPr>
              <w:pStyle w:val="Normal"/>
              <w:spacing w:before="30" w:after="30"/>
              <w:jc w:val="center"/>
              <w:rPr/>
            </w:pPr>
            <w:r>
              <w:rPr>
                <w:sz w:val="17"/>
              </w:rPr>
              <w:t>542.8 kbp/s</w:t>
            </w:r>
          </w:p>
        </w:tc>
        <w:tc>
          <w:tcPr>
            <w:tcW w:w="1840" w:type="dxa"/>
            <w:tcBorders/>
          </w:tcPr>
          <w:p>
            <w:pPr>
              <w:pStyle w:val="Normal"/>
              <w:spacing w:before="30" w:after="30"/>
              <w:jc w:val="center"/>
              <w:rPr/>
            </w:pPr>
            <w:r>
              <w:rPr>
                <w:sz w:val="17"/>
              </w:rPr>
              <w:t>1.0x (Baseline)</w:t>
            </w:r>
          </w:p>
        </w:tc>
        <w:tc>
          <w:tcPr>
            <w:tcW w:w="1840" w:type="dxa"/>
            <w:tcBorders/>
          </w:tcPr>
          <w:p>
            <w:pPr>
              <w:pStyle w:val="Normal"/>
              <w:spacing w:before="30" w:after="30"/>
              <w:jc w:val="center"/>
              <w:rPr/>
            </w:pPr>
            <w:r>
              <w:rPr>
                <w:sz w:val="17"/>
              </w:rPr>
              <w:t>0.0%</w:t>
            </w:r>
          </w:p>
        </w:tc>
      </w:tr>
      <w:tr>
        <w:trPr/>
        <w:tc>
          <w:tcPr>
            <w:tcW w:w="1840" w:type="dxa"/>
            <w:tcBorders/>
          </w:tcPr>
          <w:p>
            <w:pPr>
              <w:pStyle w:val="Normal"/>
              <w:spacing w:before="30" w:after="30"/>
              <w:jc w:val="center"/>
              <w:rPr/>
            </w:pPr>
            <w:r>
              <w:rPr>
                <w:sz w:val="17"/>
              </w:rPr>
              <w:t>Classical Exact DFA</w:t>
            </w:r>
          </w:p>
        </w:tc>
        <w:tc>
          <w:tcPr>
            <w:tcW w:w="1840" w:type="dxa"/>
            <w:tcBorders/>
          </w:tcPr>
          <w:p>
            <w:pPr>
              <w:pStyle w:val="Normal"/>
              <w:spacing w:before="30" w:after="30"/>
              <w:jc w:val="center"/>
              <w:rPr/>
            </w:pPr>
            <w:r>
              <w:rPr>
                <w:sz w:val="17"/>
              </w:rPr>
              <w:t>2.19 ms</w:t>
            </w:r>
          </w:p>
        </w:tc>
        <w:tc>
          <w:tcPr>
            <w:tcW w:w="1840" w:type="dxa"/>
            <w:tcBorders/>
          </w:tcPr>
          <w:p>
            <w:pPr>
              <w:pStyle w:val="Normal"/>
              <w:spacing w:before="30" w:after="30"/>
              <w:jc w:val="center"/>
              <w:rPr/>
            </w:pPr>
            <w:r>
              <w:rPr>
                <w:sz w:val="17"/>
              </w:rPr>
              <w:t>4,566.2 kbp/s</w:t>
            </w:r>
          </w:p>
        </w:tc>
        <w:tc>
          <w:tcPr>
            <w:tcW w:w="1840" w:type="dxa"/>
            <w:tcBorders/>
          </w:tcPr>
          <w:p>
            <w:pPr>
              <w:pStyle w:val="Normal"/>
              <w:spacing w:before="30" w:after="30"/>
              <w:jc w:val="center"/>
              <w:rPr/>
            </w:pPr>
            <w:r>
              <w:rPr>
                <w:sz w:val="17"/>
              </w:rPr>
              <w:t>8.41x</w:t>
            </w:r>
          </w:p>
        </w:tc>
        <w:tc>
          <w:tcPr>
            <w:tcW w:w="1840" w:type="dxa"/>
            <w:tcBorders/>
          </w:tcPr>
          <w:p>
            <w:pPr>
              <w:pStyle w:val="Normal"/>
              <w:spacing w:before="30" w:after="30"/>
              <w:jc w:val="center"/>
              <w:rPr/>
            </w:pPr>
            <w:r>
              <w:rPr>
                <w:sz w:val="17"/>
              </w:rPr>
              <w:t>N/A (Exact Only)</w:t>
            </w:r>
          </w:p>
        </w:tc>
      </w:tr>
      <w:tr>
        <w:trPr/>
        <w:tc>
          <w:tcPr>
            <w:tcW w:w="1840" w:type="dxa"/>
            <w:tcBorders/>
          </w:tcPr>
          <w:p>
            <w:pPr>
              <w:pStyle w:val="Normal"/>
              <w:spacing w:before="30" w:after="30"/>
              <w:jc w:val="center"/>
              <w:rPr/>
            </w:pPr>
            <w:r>
              <w:rPr>
                <w:sz w:val="17"/>
              </w:rPr>
              <w:t>Linear WFA (Unpruned)</w:t>
            </w:r>
          </w:p>
        </w:tc>
        <w:tc>
          <w:tcPr>
            <w:tcW w:w="1840" w:type="dxa"/>
            <w:tcBorders/>
          </w:tcPr>
          <w:p>
            <w:pPr>
              <w:pStyle w:val="Normal"/>
              <w:spacing w:before="30" w:after="30"/>
              <w:jc w:val="center"/>
              <w:rPr/>
            </w:pPr>
            <w:r>
              <w:rPr>
                <w:sz w:val="17"/>
              </w:rPr>
              <w:t>16.85 ms</w:t>
            </w:r>
          </w:p>
        </w:tc>
        <w:tc>
          <w:tcPr>
            <w:tcW w:w="1840" w:type="dxa"/>
            <w:tcBorders/>
          </w:tcPr>
          <w:p>
            <w:pPr>
              <w:pStyle w:val="Normal"/>
              <w:spacing w:before="30" w:after="30"/>
              <w:jc w:val="center"/>
              <w:rPr/>
            </w:pPr>
            <w:r>
              <w:rPr>
                <w:sz w:val="17"/>
              </w:rPr>
              <w:t>593.4 kbp/s</w:t>
            </w:r>
          </w:p>
        </w:tc>
        <w:tc>
          <w:tcPr>
            <w:tcW w:w="1840" w:type="dxa"/>
            <w:tcBorders/>
          </w:tcPr>
          <w:p>
            <w:pPr>
              <w:pStyle w:val="Normal"/>
              <w:spacing w:before="30" w:after="30"/>
              <w:jc w:val="center"/>
              <w:rPr/>
            </w:pPr>
            <w:r>
              <w:rPr>
                <w:sz w:val="17"/>
              </w:rPr>
              <w:t>1.09x</w:t>
            </w:r>
          </w:p>
        </w:tc>
        <w:tc>
          <w:tcPr>
            <w:tcW w:w="1840" w:type="dxa"/>
            <w:tcBorders/>
          </w:tcPr>
          <w:p>
            <w:pPr>
              <w:pStyle w:val="Normal"/>
              <w:spacing w:before="30" w:after="30"/>
              <w:jc w:val="center"/>
              <w:rPr/>
            </w:pPr>
            <w:r>
              <w:rPr>
                <w:sz w:val="17"/>
              </w:rPr>
              <w:t>0.0%</w:t>
            </w:r>
          </w:p>
        </w:tc>
      </w:tr>
      <w:tr>
        <w:trPr/>
        <w:tc>
          <w:tcPr>
            <w:tcW w:w="1840" w:type="dxa"/>
            <w:tcBorders>
              <w:bottom w:val="single" w:sz="8" w:space="0" w:color="000000"/>
            </w:tcBorders>
          </w:tcPr>
          <w:p>
            <w:pPr>
              <w:pStyle w:val="Normal"/>
              <w:spacing w:before="30" w:after="30"/>
              <w:jc w:val="center"/>
              <w:rPr/>
            </w:pPr>
            <w:r>
              <w:rPr>
                <w:sz w:val="17"/>
              </w:rPr>
              <w:t>Pruned WFA Engine (Ours)</w:t>
            </w:r>
          </w:p>
        </w:tc>
        <w:tc>
          <w:tcPr>
            <w:tcW w:w="1840" w:type="dxa"/>
            <w:tcBorders>
              <w:bottom w:val="single" w:sz="8" w:space="0" w:color="000000"/>
            </w:tcBorders>
          </w:tcPr>
          <w:p>
            <w:pPr>
              <w:pStyle w:val="Normal"/>
              <w:spacing w:before="30" w:after="30"/>
              <w:jc w:val="center"/>
              <w:rPr/>
            </w:pPr>
            <w:r>
              <w:rPr>
                <w:sz w:val="17"/>
              </w:rPr>
              <w:t>4.98 ms</w:t>
            </w:r>
          </w:p>
        </w:tc>
        <w:tc>
          <w:tcPr>
            <w:tcW w:w="1840" w:type="dxa"/>
            <w:tcBorders>
              <w:bottom w:val="single" w:sz="8" w:space="0" w:color="000000"/>
            </w:tcBorders>
          </w:tcPr>
          <w:p>
            <w:pPr>
              <w:pStyle w:val="Normal"/>
              <w:spacing w:before="30" w:after="30"/>
              <w:jc w:val="center"/>
              <w:rPr/>
            </w:pPr>
            <w:r>
              <w:rPr>
                <w:sz w:val="17"/>
              </w:rPr>
              <w:t>2,008.0 kbp/s</w:t>
            </w:r>
          </w:p>
        </w:tc>
        <w:tc>
          <w:tcPr>
            <w:tcW w:w="1840" w:type="dxa"/>
            <w:tcBorders>
              <w:bottom w:val="single" w:sz="8" w:space="0" w:color="000000"/>
            </w:tcBorders>
          </w:tcPr>
          <w:p>
            <w:pPr>
              <w:pStyle w:val="Normal"/>
              <w:spacing w:before="30" w:after="30"/>
              <w:jc w:val="center"/>
              <w:rPr/>
            </w:pPr>
            <w:r>
              <w:rPr>
                <w:sz w:val="17"/>
              </w:rPr>
              <w:t>3.70x</w:t>
            </w:r>
          </w:p>
        </w:tc>
        <w:tc>
          <w:tcPr>
            <w:tcW w:w="1840" w:type="dxa"/>
            <w:tcBorders>
              <w:bottom w:val="single" w:sz="8" w:space="0" w:color="000000"/>
            </w:tcBorders>
          </w:tcPr>
          <w:p>
            <w:pPr>
              <w:pStyle w:val="Normal"/>
              <w:spacing w:before="30" w:after="30"/>
              <w:jc w:val="center"/>
              <w:rPr/>
            </w:pPr>
            <w:r>
              <w:rPr>
                <w:sz w:val="17"/>
              </w:rPr>
              <w:t>68.4% Skipped</w:t>
            </w:r>
          </w:p>
        </w:tc>
      </w:tr>
    </w:tbl>
    <w:p>
      <w:pPr>
        <w:pStyle w:val="IEEEBody"/>
        <w:ind w:hanging="0" w:left="0" w:right="0"/>
        <w:jc w:val="left"/>
        <w:rPr/>
      </w:pPr>
      <w:r>
        <w:rPr/>
      </w:r>
    </w:p>
    <w:p>
      <w:pPr>
        <w:pStyle w:val="IEEEBody"/>
        <w:ind w:hanging="0" w:left="0" w:right="0"/>
        <w:jc w:val="left"/>
        <w:rPr/>
      </w:pPr>
      <w:r>
        <w:rPr/>
        <w:t xml:space="preserve">The use of a lookahead process together with a branch-and-bound improvement leads to a 68.4% reduction in the number of windows processed before reaching the state of q_{floor(L/2)}, thus attaining the speedup factor of 3.70 with respect to their unoptimized counterpart WFA, with the same coordinates and hits. </w:t>
      </w:r>
    </w:p>
    <w:p>
      <w:pPr>
        <w:pStyle w:val="IEEEHeading1"/>
        <w:rPr/>
      </w:pPr>
      <w:r>
        <w:rPr>
          <w:b/>
          <w:smallCaps/>
        </w:rPr>
        <w:t>VI. INTERACTIVE STREAMLIT WEB WORKBENCH</w:t>
      </w:r>
    </w:p>
    <w:p>
      <w:pPr>
        <w:pStyle w:val="IEEEBody"/>
        <w:rPr/>
      </w:pPr>
      <w:r>
        <w:rPr/>
        <w:tab/>
        <w:t>To create an easy-to-use platform for computational linguists as well as molecular biologists, we have designed an interactive Streamlit app (streamlit_app.py) that consists of the following features: (1) Motif Bank &amp; PSSM Inspector with Shannon entropy analysis, (2) Genomic Registry &amp; Sequence Adder for arbitrary sequences, (3) Automata Graph &amp; Single-Windows Tracer with Graphviz representation, (4) High Throughput Scanner &amp; Results Viewer with neighboring context samples, (5) Statistical Benchmark Suite for ROC curves on demand, and (6) Basic Bioinformatics Converters supporting BED6, GFF3, CSV, and JSON file types.</w:t>
      </w:r>
    </w:p>
    <w:p>
      <w:pPr>
        <w:pStyle w:val="IEEEHeading1"/>
        <w:rPr>
          <w:b/>
          <w:smallCaps/>
        </w:rPr>
      </w:pPr>
      <w:r>
        <w:rPr>
          <w:b/>
          <w:smallCaps/>
        </w:rPr>
      </w:r>
    </w:p>
    <w:p>
      <w:pPr>
        <w:pStyle w:val="IEEEHeading1"/>
        <w:rPr>
          <w:b/>
          <w:smallCaps/>
        </w:rPr>
      </w:pPr>
      <w:r>
        <w:rPr>
          <w:b/>
          <w:smallCaps/>
        </w:rPr>
      </w:r>
    </w:p>
    <w:p>
      <w:pPr>
        <w:pStyle w:val="IEEEHeading1"/>
        <w:rPr>
          <w:b/>
          <w:smallCaps/>
        </w:rPr>
      </w:pPr>
      <w:r>
        <w:rPr>
          <w:b/>
          <w:smallCaps/>
        </w:rPr>
        <w:t>VII. DIVISION OF WORK ACROSS PROJECT MEMBERS</w:t>
      </w:r>
    </w:p>
    <w:p>
      <w:pPr>
        <w:pStyle w:val="IEEEBody"/>
        <w:rPr/>
      </w:pPr>
      <w:r>
        <w:rPr/>
        <w:tab/>
        <w:t xml:space="preserve">To comply with modular engineering norms, the structure of the codebase was divided into four independent components, each produced by a different author and exceeding 500 lines of source code. </w:t>
      </w:r>
    </w:p>
    <w:p>
      <w:pPr>
        <w:pStyle w:val="Normal"/>
        <w:spacing w:before="120" w:after="40"/>
        <w:jc w:val="center"/>
        <w:rPr/>
      </w:pPr>
      <w:r>
        <w:rPr>
          <w:b/>
          <w:smallCaps/>
          <w:sz w:val="18"/>
        </w:rPr>
        <w:t>TABLE III: MODULAR ENGINEERING WORK BREAKDOWN (4 TEAM MEMBERS)</w:t>
      </w:r>
    </w:p>
    <w:tbl>
      <w:tblPr>
        <w:tblW w:w="9200" w:type="dxa"/>
        <w:jc w:val="center"/>
        <w:tblInd w:w="0" w:type="dxa"/>
        <w:tblLayout w:type="fixed"/>
        <w:tblCellMar>
          <w:top w:w="0" w:type="dxa"/>
          <w:left w:w="108" w:type="dxa"/>
          <w:bottom w:w="0" w:type="dxa"/>
          <w:right w:w="108" w:type="dxa"/>
        </w:tblCellMar>
      </w:tblPr>
      <w:tblGrid>
        <w:gridCol w:w="3066"/>
        <w:gridCol w:w="3067"/>
        <w:gridCol w:w="3067"/>
      </w:tblGrid>
      <w:tr>
        <w:trPr/>
        <w:tc>
          <w:tcPr>
            <w:tcW w:w="3066" w:type="dxa"/>
            <w:tcBorders>
              <w:top w:val="single" w:sz="8" w:space="0" w:color="000000"/>
              <w:bottom w:val="single" w:sz="8" w:space="0" w:color="000000"/>
            </w:tcBorders>
            <w:shd w:color="auto" w:fill="F3F4F6" w:val="clear"/>
          </w:tcPr>
          <w:p>
            <w:pPr>
              <w:pStyle w:val="Normal"/>
              <w:spacing w:before="40" w:after="40"/>
              <w:jc w:val="center"/>
              <w:rPr/>
            </w:pPr>
            <w:r>
              <w:rPr>
                <w:b/>
                <w:sz w:val="17"/>
              </w:rPr>
              <w:t>Module &amp; Author</w:t>
            </w:r>
          </w:p>
        </w:tc>
        <w:tc>
          <w:tcPr>
            <w:tcW w:w="3067" w:type="dxa"/>
            <w:tcBorders>
              <w:top w:val="single" w:sz="8" w:space="0" w:color="000000"/>
              <w:bottom w:val="single" w:sz="8" w:space="0" w:color="000000"/>
            </w:tcBorders>
            <w:shd w:color="auto" w:fill="F3F4F6" w:val="clear"/>
          </w:tcPr>
          <w:p>
            <w:pPr>
              <w:pStyle w:val="Normal"/>
              <w:spacing w:before="40" w:after="40"/>
              <w:jc w:val="center"/>
              <w:rPr/>
            </w:pPr>
            <w:r>
              <w:rPr>
                <w:b/>
                <w:sz w:val="17"/>
              </w:rPr>
              <w:t>Lines</w:t>
            </w:r>
          </w:p>
        </w:tc>
        <w:tc>
          <w:tcPr>
            <w:tcW w:w="3067" w:type="dxa"/>
            <w:tcBorders>
              <w:top w:val="single" w:sz="8" w:space="0" w:color="000000"/>
              <w:bottom w:val="single" w:sz="8" w:space="0" w:color="000000"/>
            </w:tcBorders>
            <w:shd w:color="auto" w:fill="F3F4F6" w:val="clear"/>
          </w:tcPr>
          <w:p>
            <w:pPr>
              <w:pStyle w:val="Normal"/>
              <w:spacing w:before="40" w:after="40"/>
              <w:jc w:val="center"/>
              <w:rPr/>
            </w:pPr>
            <w:r>
              <w:rPr>
                <w:b/>
                <w:sz w:val="17"/>
              </w:rPr>
              <w:t>Primary Technical Responsibilities</w:t>
            </w:r>
          </w:p>
        </w:tc>
      </w:tr>
      <w:tr>
        <w:trPr/>
        <w:tc>
          <w:tcPr>
            <w:tcW w:w="3066" w:type="dxa"/>
            <w:tcBorders/>
          </w:tcPr>
          <w:p>
            <w:pPr>
              <w:pStyle w:val="Normal"/>
              <w:spacing w:before="30" w:after="30"/>
              <w:jc w:val="center"/>
              <w:rPr/>
            </w:pPr>
            <w:r>
              <w:rPr>
                <w:sz w:val="17"/>
              </w:rPr>
              <w:t xml:space="preserve">Module 1 </w:t>
            </w:r>
          </w:p>
        </w:tc>
        <w:tc>
          <w:tcPr>
            <w:tcW w:w="3067" w:type="dxa"/>
            <w:tcBorders/>
          </w:tcPr>
          <w:p>
            <w:pPr>
              <w:pStyle w:val="Normal"/>
              <w:spacing w:before="30" w:after="30"/>
              <w:jc w:val="center"/>
              <w:rPr/>
            </w:pPr>
            <w:r>
              <w:rPr>
                <w:sz w:val="17"/>
              </w:rPr>
              <w:t>867</w:t>
            </w:r>
          </w:p>
        </w:tc>
        <w:tc>
          <w:tcPr>
            <w:tcW w:w="3067" w:type="dxa"/>
            <w:tcBorders/>
          </w:tcPr>
          <w:p>
            <w:pPr>
              <w:pStyle w:val="Normal"/>
              <w:spacing w:before="30" w:after="30"/>
              <w:jc w:val="center"/>
              <w:rPr/>
            </w:pPr>
            <w:r>
              <w:rPr>
                <w:sz w:val="17"/>
              </w:rPr>
              <w:t>PFM/PPM/PSSM models, Laplace smoothing, Shannon entropy, 20 JASPAR motifs, Staden DP.</w:t>
            </w:r>
          </w:p>
        </w:tc>
      </w:tr>
      <w:tr>
        <w:trPr/>
        <w:tc>
          <w:tcPr>
            <w:tcW w:w="3066" w:type="dxa"/>
            <w:tcBorders/>
          </w:tcPr>
          <w:p>
            <w:pPr>
              <w:pStyle w:val="Normal"/>
              <w:spacing w:before="30" w:after="30"/>
              <w:jc w:val="center"/>
              <w:rPr/>
            </w:pPr>
            <w:r>
              <w:rPr>
                <w:sz w:val="17"/>
              </w:rPr>
              <w:t xml:space="preserve">Module 2 </w:t>
            </w:r>
          </w:p>
        </w:tc>
        <w:tc>
          <w:tcPr>
            <w:tcW w:w="3067" w:type="dxa"/>
            <w:tcBorders/>
          </w:tcPr>
          <w:p>
            <w:pPr>
              <w:pStyle w:val="Normal"/>
              <w:spacing w:before="30" w:after="30"/>
              <w:jc w:val="center"/>
              <w:rPr/>
            </w:pPr>
            <w:r>
              <w:rPr>
                <w:sz w:val="17"/>
              </w:rPr>
              <w:t>789</w:t>
            </w:r>
          </w:p>
        </w:tc>
        <w:tc>
          <w:tcPr>
            <w:tcW w:w="3067" w:type="dxa"/>
            <w:tcBorders/>
          </w:tcPr>
          <w:p>
            <w:pPr>
              <w:pStyle w:val="Normal"/>
              <w:spacing w:before="30" w:after="30"/>
              <w:jc w:val="center"/>
              <w:rPr/>
            </w:pPr>
            <w:r>
              <w:rPr>
                <w:sz w:val="17"/>
              </w:rPr>
              <w:t>Linear WFA, 2D Mismatch WFA, Lexical DFA, Bytecode Compiler &amp; VM, Graphviz Layout.</w:t>
            </w:r>
          </w:p>
        </w:tc>
      </w:tr>
      <w:tr>
        <w:trPr/>
        <w:tc>
          <w:tcPr>
            <w:tcW w:w="3066" w:type="dxa"/>
            <w:tcBorders/>
          </w:tcPr>
          <w:p>
            <w:pPr>
              <w:pStyle w:val="Normal"/>
              <w:spacing w:before="30" w:after="30"/>
              <w:jc w:val="center"/>
              <w:rPr/>
            </w:pPr>
            <w:r>
              <w:rPr>
                <w:sz w:val="17"/>
              </w:rPr>
              <w:t xml:space="preserve">Module 3 </w:t>
            </w:r>
          </w:p>
        </w:tc>
        <w:tc>
          <w:tcPr>
            <w:tcW w:w="3067" w:type="dxa"/>
            <w:tcBorders/>
          </w:tcPr>
          <w:p>
            <w:pPr>
              <w:pStyle w:val="Normal"/>
              <w:spacing w:before="30" w:after="30"/>
              <w:jc w:val="center"/>
              <w:rPr/>
            </w:pPr>
            <w:r>
              <w:rPr>
                <w:sz w:val="17"/>
              </w:rPr>
              <w:t>805</w:t>
            </w:r>
          </w:p>
        </w:tc>
        <w:tc>
          <w:tcPr>
            <w:tcW w:w="3067" w:type="dxa"/>
            <w:tcBorders/>
          </w:tcPr>
          <w:p>
            <w:pPr>
              <w:pStyle w:val="Normal"/>
              <w:spacing w:before="30" w:after="30"/>
              <w:jc w:val="center"/>
              <w:rPr/>
            </w:pPr>
            <w:r>
              <w:rPr>
                <w:sz w:val="17"/>
              </w:rPr>
              <w:t>20-Genome Registry, Dual-Strand Scanner, Suffix Lookahead Pruner, Sequence Appender.</w:t>
            </w:r>
          </w:p>
        </w:tc>
      </w:tr>
      <w:tr>
        <w:trPr/>
        <w:tc>
          <w:tcPr>
            <w:tcW w:w="3066" w:type="dxa"/>
            <w:tcBorders/>
          </w:tcPr>
          <w:p>
            <w:pPr>
              <w:pStyle w:val="Normal"/>
              <w:spacing w:before="30" w:after="30"/>
              <w:jc w:val="center"/>
              <w:rPr/>
            </w:pPr>
            <w:r>
              <w:rPr>
                <w:sz w:val="17"/>
              </w:rPr>
              <w:t xml:space="preserve">Module 4 </w:t>
            </w:r>
          </w:p>
        </w:tc>
        <w:tc>
          <w:tcPr>
            <w:tcW w:w="3067" w:type="dxa"/>
            <w:tcBorders/>
          </w:tcPr>
          <w:p>
            <w:pPr>
              <w:pStyle w:val="Normal"/>
              <w:spacing w:before="30" w:after="30"/>
              <w:jc w:val="center"/>
              <w:rPr/>
            </w:pPr>
            <w:r>
              <w:rPr>
                <w:sz w:val="17"/>
              </w:rPr>
              <w:t>612</w:t>
            </w:r>
          </w:p>
        </w:tc>
        <w:tc>
          <w:tcPr>
            <w:tcW w:w="3067" w:type="dxa"/>
            <w:tcBorders/>
          </w:tcPr>
          <w:p>
            <w:pPr>
              <w:pStyle w:val="Normal"/>
              <w:spacing w:before="30" w:after="30"/>
              <w:jc w:val="center"/>
              <w:rPr/>
            </w:pPr>
            <w:r>
              <w:rPr>
                <w:sz w:val="17"/>
              </w:rPr>
              <w:t>Ground-truth generator, ROC/PR curves, Scalability Profiler, Multi-motif Benchmark.</w:t>
            </w:r>
          </w:p>
        </w:tc>
      </w:tr>
      <w:tr>
        <w:trPr/>
        <w:tc>
          <w:tcPr>
            <w:tcW w:w="3066" w:type="dxa"/>
            <w:tcBorders/>
          </w:tcPr>
          <w:p>
            <w:pPr>
              <w:pStyle w:val="Normal"/>
              <w:spacing w:before="30" w:after="30"/>
              <w:jc w:val="center"/>
              <w:rPr/>
            </w:pPr>
            <w:r>
              <w:rPr>
                <w:sz w:val="17"/>
              </w:rPr>
              <w:t>Streamlit UI (All)</w:t>
            </w:r>
          </w:p>
        </w:tc>
        <w:tc>
          <w:tcPr>
            <w:tcW w:w="3067" w:type="dxa"/>
            <w:tcBorders/>
          </w:tcPr>
          <w:p>
            <w:pPr>
              <w:pStyle w:val="Normal"/>
              <w:spacing w:before="30" w:after="30"/>
              <w:jc w:val="center"/>
              <w:rPr/>
            </w:pPr>
            <w:r>
              <w:rPr>
                <w:sz w:val="17"/>
              </w:rPr>
              <w:t>622</w:t>
            </w:r>
          </w:p>
        </w:tc>
        <w:tc>
          <w:tcPr>
            <w:tcW w:w="3067" w:type="dxa"/>
            <w:tcBorders/>
          </w:tcPr>
          <w:p>
            <w:pPr>
              <w:pStyle w:val="Normal"/>
              <w:spacing w:before="30" w:after="30"/>
              <w:jc w:val="center"/>
              <w:rPr/>
            </w:pPr>
            <w:r>
              <w:rPr>
                <w:sz w:val="17"/>
              </w:rPr>
              <w:t>Reactive GUI, Graphviz charts, Dynamic Appender, Multi-format Export suite.</w:t>
            </w:r>
          </w:p>
        </w:tc>
      </w:tr>
      <w:tr>
        <w:trPr/>
        <w:tc>
          <w:tcPr>
            <w:tcW w:w="3066" w:type="dxa"/>
            <w:tcBorders>
              <w:bottom w:val="single" w:sz="8" w:space="0" w:color="000000"/>
            </w:tcBorders>
          </w:tcPr>
          <w:p>
            <w:pPr>
              <w:pStyle w:val="Normal"/>
              <w:spacing w:before="30" w:after="30"/>
              <w:jc w:val="center"/>
              <w:rPr/>
            </w:pPr>
            <w:r>
              <w:rPr>
                <w:sz w:val="17"/>
              </w:rPr>
              <w:t>Total Project Codebase</w:t>
            </w:r>
          </w:p>
        </w:tc>
        <w:tc>
          <w:tcPr>
            <w:tcW w:w="3067" w:type="dxa"/>
            <w:tcBorders>
              <w:bottom w:val="single" w:sz="8" w:space="0" w:color="000000"/>
            </w:tcBorders>
          </w:tcPr>
          <w:p>
            <w:pPr>
              <w:pStyle w:val="Normal"/>
              <w:spacing w:before="30" w:after="30"/>
              <w:jc w:val="center"/>
              <w:rPr/>
            </w:pPr>
            <w:r>
              <w:rPr>
                <w:sz w:val="17"/>
              </w:rPr>
              <w:t>3,695</w:t>
            </w:r>
          </w:p>
        </w:tc>
        <w:tc>
          <w:tcPr>
            <w:tcW w:w="3067" w:type="dxa"/>
            <w:tcBorders>
              <w:bottom w:val="single" w:sz="8" w:space="0" w:color="000000"/>
            </w:tcBorders>
          </w:tcPr>
          <w:p>
            <w:pPr>
              <w:pStyle w:val="Normal"/>
              <w:spacing w:before="30" w:after="30"/>
              <w:jc w:val="center"/>
              <w:rPr/>
            </w:pPr>
            <w:r>
              <w:rPr>
                <w:sz w:val="17"/>
              </w:rPr>
              <w:t>Strictly exceeds the requirement of &gt;500 lines per module.</w:t>
            </w:r>
          </w:p>
        </w:tc>
      </w:tr>
    </w:tbl>
    <w:p>
      <w:pPr>
        <w:pStyle w:val="IEEEHeading1"/>
        <w:rPr/>
      </w:pPr>
      <w:r>
        <w:rPr>
          <w:b/>
          <w:smallCaps/>
        </w:rPr>
        <w:t>VIII. CONCLUSION AND FUTURE DIRECTIONS</w:t>
      </w:r>
    </w:p>
    <w:p>
      <w:pPr>
        <w:pStyle w:val="IEEEBody"/>
        <w:rPr/>
      </w:pPr>
      <w:r>
        <w:rPr/>
        <w:tab/>
        <w:t xml:space="preserve">In this paper, we have shown that it is possible to formalize the detection of biological transcription factor binding sites as compiler lexical analysis via the Weighted Finite Automata method. With a 2D mismatch-tolerant state space, lookahead branch-and-bound suffix pruning, and Staden dynamic programming P-value inversion in our compiler, we achieved O(N) linear time complexity, a throughput greater than 1.2 x 10^6 bp/s, and AUC-ROC measurement of 0.982. </w:t>
      </w:r>
    </w:p>
    <w:p>
      <w:pPr>
        <w:pStyle w:val="IEEEHeading1"/>
        <w:rPr/>
      </w:pPr>
      <w:r>
        <w:rPr>
          <w:b/>
          <w:smallCaps/>
        </w:rPr>
        <w:t>REFERENCES</w:t>
      </w:r>
    </w:p>
    <w:p>
      <w:pPr>
        <w:pStyle w:val="IEEEReference"/>
        <w:rPr/>
      </w:pPr>
      <w:r>
        <w:rPr/>
        <w:t>[1] E. H. Davidson, The Regulatory Genome: Gene Regulatory Networks in Development and Evolution. Burlington, MA: Academic Press, 2006.</w:t>
      </w:r>
    </w:p>
    <w:p>
      <w:pPr>
        <w:pStyle w:val="IEEEReference"/>
        <w:rPr/>
      </w:pPr>
      <w:r>
        <w:rPr/>
        <w:t>[2] A. Sandelin, W. Alkema, P. Engstrom, W. W. Wasserman, and B. Lenhard, 'JASPAR: an open-access database for eukaryotic transcription factor binding profiles,' Nucleic Acids Research, vol. 32, no. suppl_1, pp. D91-D94, Jan. 2004.</w:t>
      </w:r>
    </w:p>
    <w:p>
      <w:pPr>
        <w:pStyle w:val="IEEEReference"/>
        <w:rPr/>
      </w:pPr>
      <w:r>
        <w:rPr/>
        <w:t>[3] G. D. Stormo, 'DNA binding sites: representation and discovery,' Bioinformatics, vol. 16, no. 1, pp. 16-23, Jan. 2000.</w:t>
      </w:r>
    </w:p>
    <w:p>
      <w:pPr>
        <w:pStyle w:val="IEEEReference"/>
        <w:rPr/>
      </w:pPr>
      <w:r>
        <w:rPr/>
        <w:t>[4] T. D. Schneider and R. M. Stephens, 'Sequence logos: a new way to display consensus sequences,' Nucleic Acids Research, vol. 18, no. 20, pp. 6097-6100, Oct. 1990.</w:t>
      </w:r>
    </w:p>
    <w:p>
      <w:pPr>
        <w:pStyle w:val="IEEEReference"/>
        <w:rPr/>
      </w:pPr>
      <w:r>
        <w:rPr/>
        <w:t>[5] T. L. Bailey and C. Elkan, 'Fitting a mixture model by expectation maximization to discover motifs in biopolymers,' in Proc. Second Int. Conf. on Intelligent Systems for Molecular Biology (ISMB), vol. 2, 1994, pp. 28-36.</w:t>
      </w:r>
    </w:p>
    <w:p>
      <w:pPr>
        <w:pStyle w:val="IEEEReference"/>
        <w:rPr/>
      </w:pPr>
      <w:r>
        <w:rPr/>
        <w:t>[6] A. V. Aho, M. S. Lam, R. Sethi, and J. D. Ullman, Compilers: Principles, Techniques, and Tools, 2nd ed. Boston, MA: Addison-Wesley, 2006.</w:t>
      </w:r>
    </w:p>
    <w:p>
      <w:pPr>
        <w:pStyle w:val="IEEEReference"/>
        <w:rPr/>
      </w:pPr>
      <w:r>
        <w:rPr/>
        <w:t>[7] M. Mohri, 'Weighted automata algorithms,' in Handbook of Weighted Automata, M. Droste, W. Kuich, and H. Vogler, Eds. Berlin, Heidelberg: Springer, 2009, pp. 213-254.</w:t>
      </w:r>
    </w:p>
    <w:p>
      <w:pPr>
        <w:pStyle w:val="IEEEReference"/>
        <w:rPr/>
      </w:pPr>
      <w:r>
        <w:rPr/>
        <w:t>[8] T. D. Schneider, G. D. Stormo, L. Gold, and A. Ehrenfeucht, 'Information content of binding sites on nucleotide sequences,' Journal of Molecular Biology, vol. 188, no. 3, pp. 415-431, Apr. 1986.</w:t>
      </w:r>
    </w:p>
    <w:p>
      <w:pPr>
        <w:pStyle w:val="IEEEReference"/>
        <w:rPr/>
      </w:pPr>
      <w:r>
        <w:rPr/>
        <w:t>[9] R. Staden, 'Computer methods for locating kinetically significant sequence motifs in DNA,' Computer Applications in the Biosciences (CABIOS), vol. 5, no. 2, pp. 89-96, Apr. 1989.</w:t>
      </w:r>
    </w:p>
    <w:p>
      <w:pPr>
        <w:pStyle w:val="IEEEReference"/>
        <w:widowControl/>
        <w:bidi w:val="0"/>
        <w:spacing w:lineRule="auto" w:line="240" w:before="0" w:after="40"/>
        <w:ind w:hanging="400" w:left="400"/>
        <w:jc w:val="both"/>
        <w:rPr/>
      </w:pPr>
      <w:r>
        <w:rPr/>
        <w:t>[10] R. Durbin, S. R. Eddy, A. Krogh, and G. Mitchison, Biological Sequence Analysis: Probabilistic Models of Proteins and Nucleic Acids. Cambridge, UK: Cambridge University Press, 1998.</w:t>
      </w:r>
    </w:p>
    <w:sectPr>
      <w:type w:val="nextPage"/>
      <w:pgSz w:w="12240" w:h="15840"/>
      <w:pgMar w:left="1080" w:right="1080" w:gutter="0" w:header="0" w:top="1080" w:footer="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mbria Math">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Times New Roman"/>
        <w:color w:val="000000"/>
        <w:lang w:val="en-IN" w:eastAsia="zh-CN" w:bidi="hi-IN"/>
      </w:rPr>
    </w:rPrDefault>
    <w:pPrDefault>
      <w:pPr>
        <w:suppressAutoHyphens w:val="true"/>
      </w:pPr>
    </w:pPrDefault>
  </w:docDefaults>
  <w:style w:type="paragraph" w:styleId="Normal">
    <w:name w:val="Normal"/>
    <w:qFormat/>
    <w:pPr>
      <w:widowControl/>
      <w:bidi w:val="0"/>
      <w:spacing w:lineRule="auto" w:line="240" w:before="0" w:after="70"/>
      <w:jc w:val="left"/>
    </w:pPr>
    <w:rPr>
      <w:rFonts w:ascii="Times New Roman" w:hAnsi="Times New Roman" w:eastAsia="NSimSun" w:cs="Times New Roman"/>
      <w:color w:val="000000"/>
      <w:kern w:val="0"/>
      <w:sz w:val="20"/>
      <w:szCs w:val="20"/>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EEETitle">
    <w:name w:val="IEEE Title"/>
    <w:qFormat/>
    <w:pPr>
      <w:widowControl/>
      <w:bidi w:val="0"/>
      <w:spacing w:lineRule="auto" w:line="240" w:before="120" w:after="120"/>
      <w:jc w:val="center"/>
    </w:pPr>
    <w:rPr>
      <w:rFonts w:ascii="Times New Roman" w:hAnsi="Times New Roman" w:eastAsia="NSimSun" w:cs="Times New Roman"/>
      <w:b/>
      <w:color w:val="000000"/>
      <w:kern w:val="0"/>
      <w:sz w:val="48"/>
      <w:szCs w:val="20"/>
      <w:lang w:val="en-IN" w:eastAsia="zh-CN" w:bidi="hi-IN"/>
    </w:rPr>
  </w:style>
  <w:style w:type="paragraph" w:styleId="IEEEAuthor">
    <w:name w:val="IEEE Author"/>
    <w:qFormat/>
    <w:pPr>
      <w:widowControl/>
      <w:bidi w:val="0"/>
      <w:spacing w:lineRule="auto" w:line="240" w:before="0" w:after="40"/>
      <w:jc w:val="center"/>
    </w:pPr>
    <w:rPr>
      <w:rFonts w:ascii="Times New Roman" w:hAnsi="Times New Roman" w:eastAsia="NSimSun" w:cs="Times New Roman"/>
      <w:color w:val="000000"/>
      <w:kern w:val="0"/>
      <w:sz w:val="22"/>
      <w:szCs w:val="20"/>
      <w:lang w:val="en-IN" w:eastAsia="zh-CN" w:bidi="hi-IN"/>
    </w:rPr>
  </w:style>
  <w:style w:type="paragraph" w:styleId="IEEEAffiliation">
    <w:name w:val="IEEE Affiliation"/>
    <w:qFormat/>
    <w:pPr>
      <w:widowControl/>
      <w:bidi w:val="0"/>
      <w:spacing w:lineRule="auto" w:line="240" w:before="0" w:after="180"/>
      <w:jc w:val="center"/>
    </w:pPr>
    <w:rPr>
      <w:rFonts w:ascii="Times New Roman" w:hAnsi="Times New Roman" w:eastAsia="NSimSun" w:cs="Times New Roman"/>
      <w:i/>
      <w:color w:val="333333"/>
      <w:kern w:val="0"/>
      <w:sz w:val="19"/>
      <w:szCs w:val="20"/>
      <w:lang w:val="en-IN" w:eastAsia="zh-CN" w:bidi="hi-IN"/>
    </w:rPr>
  </w:style>
  <w:style w:type="paragraph" w:styleId="IEEEAbstract">
    <w:name w:val="IEEE Abstract"/>
    <w:qFormat/>
    <w:pPr>
      <w:widowControl/>
      <w:bidi w:val="0"/>
      <w:spacing w:lineRule="auto" w:line="240" w:before="60" w:after="80"/>
      <w:ind w:left="360" w:right="360"/>
      <w:jc w:val="both"/>
    </w:pPr>
    <w:rPr>
      <w:rFonts w:ascii="Times New Roman" w:hAnsi="Times New Roman" w:eastAsia="NSimSun" w:cs="Times New Roman"/>
      <w:color w:val="000000"/>
      <w:kern w:val="0"/>
      <w:sz w:val="18"/>
      <w:szCs w:val="20"/>
      <w:lang w:val="en-IN" w:eastAsia="zh-CN" w:bidi="hi-IN"/>
    </w:rPr>
  </w:style>
  <w:style w:type="paragraph" w:styleId="IEEEHeading1">
    <w:name w:val="IEEE Heading 1"/>
    <w:qFormat/>
    <w:pPr>
      <w:widowControl/>
      <w:bidi w:val="0"/>
      <w:spacing w:lineRule="auto" w:line="240" w:before="240" w:after="60"/>
      <w:jc w:val="center"/>
    </w:pPr>
    <w:rPr>
      <w:rFonts w:ascii="Times New Roman" w:hAnsi="Times New Roman" w:eastAsia="NSimSun" w:cs="Times New Roman"/>
      <w:b/>
      <w:smallCaps/>
      <w:color w:val="000000"/>
      <w:kern w:val="0"/>
      <w:sz w:val="20"/>
      <w:szCs w:val="20"/>
      <w:lang w:val="en-IN" w:eastAsia="zh-CN" w:bidi="hi-IN"/>
    </w:rPr>
  </w:style>
  <w:style w:type="paragraph" w:styleId="IEEEHeading2">
    <w:name w:val="IEEE Heading 2"/>
    <w:qFormat/>
    <w:pPr>
      <w:widowControl/>
      <w:bidi w:val="0"/>
      <w:spacing w:lineRule="auto" w:line="240" w:before="160" w:after="40"/>
      <w:jc w:val="left"/>
    </w:pPr>
    <w:rPr>
      <w:rFonts w:ascii="Times New Roman" w:hAnsi="Times New Roman" w:eastAsia="NSimSun" w:cs="Times New Roman"/>
      <w:i/>
      <w:color w:val="000000"/>
      <w:kern w:val="0"/>
      <w:sz w:val="20"/>
      <w:szCs w:val="20"/>
      <w:lang w:val="en-IN" w:eastAsia="zh-CN" w:bidi="hi-IN"/>
    </w:rPr>
  </w:style>
  <w:style w:type="paragraph" w:styleId="IEEEBody">
    <w:name w:val="IEEE Body"/>
    <w:qFormat/>
    <w:pPr>
      <w:widowControl/>
      <w:bidi w:val="0"/>
      <w:spacing w:lineRule="auto" w:line="240" w:before="0" w:after="60"/>
      <w:ind w:firstLine="280"/>
      <w:jc w:val="both"/>
    </w:pPr>
    <w:rPr>
      <w:rFonts w:ascii="Times New Roman" w:hAnsi="Times New Roman" w:eastAsia="NSimSun" w:cs="Times New Roman"/>
      <w:color w:val="000000"/>
      <w:kern w:val="0"/>
      <w:sz w:val="20"/>
      <w:szCs w:val="20"/>
      <w:lang w:val="en-IN" w:eastAsia="zh-CN" w:bidi="hi-IN"/>
    </w:rPr>
  </w:style>
  <w:style w:type="paragraph" w:styleId="IEEEReference">
    <w:name w:val="IEEE Reference"/>
    <w:qFormat/>
    <w:pPr>
      <w:widowControl/>
      <w:bidi w:val="0"/>
      <w:spacing w:lineRule="auto" w:line="240" w:before="0" w:after="40"/>
      <w:ind w:hanging="400" w:left="400"/>
      <w:jc w:val="both"/>
    </w:pPr>
    <w:rPr>
      <w:rFonts w:ascii="Times New Roman" w:hAnsi="Times New Roman" w:eastAsia="NSimSun" w:cs="Times New Roman"/>
      <w:color w:val="000000"/>
      <w:kern w:val="0"/>
      <w:sz w:val="18"/>
      <w:szCs w:val="20"/>
      <w:lang w:val="en-IN"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5</Pages>
  <Words>2450</Words>
  <Characters>13946</Characters>
  <CharactersWithSpaces>16297</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lastPrinted>2026-10-14T18:14:13Z</cp:lastPrinted>
  <dcterms:modified xsi:type="dcterms:W3CDTF">2026-10-14T18:15:05Z</dcterms:modified>
  <cp:revision>1</cp:revision>
  <dc:subject/>
  <dc:title/>
</cp:coreProperties>
</file>