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C4A35A"/>
          <w:sz w:val="20"/>
          <w:szCs w:val="20"/>
        </w:rPr>
        <w:t xml:space="preserve">PLATFORM BLUEPRINT</w:t>
      </w:r>
    </w:p>
    <w:p>
      <w:pPr>
        <w:spacing w:after="80"/>
      </w:pPr>
      <w:r>
        <w:rPr>
          <w:rFonts w:ascii="Calibri" w:cs="Calibri" w:eastAsia="Calibri" w:hAnsi="Calibri"/>
          <w:b/>
          <w:bCs/>
          <w:color w:val="0B1F3A"/>
          <w:sz w:val="64"/>
          <w:szCs w:val="64"/>
        </w:rPr>
        <w:t xml:space="preserve">MESTA-ASSET</w:t>
      </w:r>
    </w:p>
    <w:p>
      <w:pPr>
        <w:spacing w:after="240"/>
      </w:pPr>
      <w:r>
        <w:rPr>
          <w:rFonts w:ascii="Calibri" w:cs="Calibri" w:eastAsia="Calibri" w:hAnsi="Calibri"/>
          <w:i/>
          <w:iCs/>
          <w:color w:val="0E6B6B"/>
          <w:sz w:val="24"/>
          <w:szCs w:val="24"/>
        </w:rPr>
        <w:t xml:space="preserve">Multi-asset Enterprise System for Trading, Analytics &amp; Risk</w:t>
      </w:r>
    </w:p>
    <w:p>
      <w:pPr>
        <w:spacing w:after="280" w:before="0" w:line="276"/>
      </w:pPr>
      <w:r>
        <w:rPr>
          <w:rFonts w:ascii="Calibri" w:cs="Calibri" w:eastAsia="Calibri" w:hAnsi="Calibri"/>
          <w:b w:val="false"/>
          <w:bCs w:val="false"/>
          <w:i w:val="false"/>
          <w:iCs w:val="false"/>
          <w:color w:val="334155"/>
          <w:sz w:val="22"/>
          <w:szCs w:val="22"/>
        </w:rPr>
        <w:t xml:space="preserve">An ontology-first recreation of BlackRock Aladdin: one Investment Book of Record, one risk language, one process for the whole portfolio — public markets, private markets, and digital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Field</w:t>
            </w:r>
          </w:p>
        </w:tc>
        <w:tc>
          <w:tcPr>
            <w:tcW w:type="dxa" w:w="65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Value</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Platform</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MESTA-ASSET v0.1 — design baseline</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Source analog</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Aladdin by BlackRock (operating system for investment organizations)</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Architectural stance</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Ontology-first IBOR + deterministic actions + governed agents</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Delivery model</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Platform-as-a-service, not licensed software</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Primary users</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Asset owners, asset managers, insurers, pensions, banks, multi-entity groups</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Date</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21 September 2026</w:t>
            </w:r>
          </w:p>
        </w:tc>
      </w:tr>
    </w:tbl>
    <w:p>
      <w:pPr>
        <w:spacing w:after="240"/>
      </w:pPr>
    </w:p>
    <w:p>
      <w:pPr>
        <w:spacing w:after="360" w:before="0" w:line="276"/>
      </w:pPr>
      <w:r>
        <w:rPr>
          <w:rFonts w:ascii="Calibri" w:cs="Calibri" w:eastAsia="Calibri" w:hAnsi="Calibri"/>
          <w:b w:val="false"/>
          <w:bCs w:val="false"/>
          <w:i/>
          <w:iCs/>
          <w:color w:val="64748B"/>
          <w:sz w:val="18"/>
          <w:szCs w:val="18"/>
        </w:rPr>
        <w:t xml:space="preserve">This document is an original product and ontology design. It uses the publicly described Aladdin operating model as the capability target and rebuilds that model on a semantic layer, Marquee-style developer APIs, and concept-centric software practice. It is not a BlackRock product and does not reproduce proprietary models, factor libraries, or source code.</w:t>
      </w:r>
    </w:p>
    <w:p>
      <w:pPr>
        <w:pStyle w:val="Heading1"/>
        <w:pBdr>
          <w:bottom w:val="single" w:color="0E6B6B" w:sz="12" w:space="6"/>
        </w:pBdr>
        <w:spacing w:after="160" w:before="360"/>
      </w:pPr>
      <w:r>
        <w:rPr>
          <w:rFonts w:ascii="Calibri" w:cs="Calibri" w:eastAsia="Calibri" w:hAnsi="Calibri"/>
          <w:b/>
          <w:bCs/>
          <w:color w:val="0B1F3A"/>
          <w:sz w:val="32"/>
          <w:szCs w:val="32"/>
        </w:rPr>
        <w:t xml:space="preserve">1. Thesis</w:t>
      </w:r>
    </w:p>
    <w:p>
      <w:pPr>
        <w:spacing w:after="120" w:before="0" w:line="276"/>
      </w:pPr>
      <w:r>
        <w:rPr>
          <w:rFonts w:ascii="Calibri" w:cs="Calibri" w:eastAsia="Calibri" w:hAnsi="Calibri"/>
          <w:b w:val="false"/>
          <w:bCs w:val="false"/>
          <w:i w:val="false"/>
          <w:iCs w:val="false"/>
          <w:color w:val="334155"/>
          <w:sz w:val="22"/>
          <w:szCs w:val="22"/>
        </w:rPr>
        <w:t xml:space="preserve">Aladdin won because it collapsed a multi-vendor mess into one database, one system, and one process. Risk, portfolio construction, trading, compliance, operations, performance, and accounting all read and write the same positions. That is the product. Everything else is packaging.</w:t>
      </w:r>
    </w:p>
    <w:p>
      <w:pPr>
        <w:spacing w:after="120" w:before="0" w:line="276"/>
      </w:pPr>
      <w:r>
        <w:rPr>
          <w:rFonts w:ascii="Calibri" w:cs="Calibri" w:eastAsia="Calibri" w:hAnsi="Calibri"/>
          <w:b w:val="false"/>
          <w:bCs w:val="false"/>
          <w:i w:val="false"/>
          <w:iCs w:val="false"/>
          <w:color w:val="334155"/>
          <w:sz w:val="22"/>
          <w:szCs w:val="22"/>
        </w:rPr>
        <w:t xml:space="preserve">MESTA-ASSET keeps that thesis and changes the substrate. Instead of a monolithic application schema that only Aladdin engineers can extend, the core is an explicit investment ontology: Object Types, Link Types, and Action Types. Positions, instruments, mandates, counterparties, cash, collateral, liabilities, private-market commitments, and risk runs are first-class objects. Agents and applications never invent their own meaning of “asset” or “exposure.”</w:t>
      </w:r>
    </w:p>
    <w:p>
      <w:pPr>
        <w:spacing w:after="120" w:before="0" w:line="276"/>
      </w:pPr>
      <w:r>
        <w:rPr>
          <w:rFonts w:ascii="Calibri" w:cs="Calibri" w:eastAsia="Calibri" w:hAnsi="Calibri"/>
          <w:b w:val="false"/>
          <w:bCs w:val="false"/>
          <w:i w:val="false"/>
          <w:iCs w:val="false"/>
          <w:color w:val="334155"/>
          <w:sz w:val="22"/>
          <w:szCs w:val="22"/>
        </w:rPr>
        <w:t xml:space="preserve">The 2016 Aladdin overview written for Welsh LGPS pooling still states the operating problem correctly: pooling, look-through, asset-liability management, multi-asset risk, data quality, and the desire to run more of the book in-house. Those problems have only grown. Whole-portfolio public + private + digital, IBOR/ABOR integration, pre-trade compliance at scale, and a natural-language copilot are now table stakes. MESTA-ASSET is the recreation of that operating system for that expanded book.</w:t>
      </w:r>
    </w:p>
    <w:p>
      <w:pPr>
        <w:pStyle w:val="Heading1"/>
        <w:pBdr>
          <w:bottom w:val="single" w:color="0E6B6B" w:sz="12" w:space="6"/>
        </w:pBdr>
        <w:spacing w:after="160" w:before="360"/>
      </w:pPr>
      <w:r>
        <w:rPr>
          <w:rFonts w:ascii="Calibri" w:cs="Calibri" w:eastAsia="Calibri" w:hAnsi="Calibri"/>
          <w:b/>
          <w:bCs/>
          <w:color w:val="0B1F3A"/>
          <w:sz w:val="32"/>
          <w:szCs w:val="32"/>
        </w:rPr>
        <w:t xml:space="preserve">2. What we are recreating</w:t>
      </w:r>
    </w:p>
    <w:p>
      <w:pPr>
        <w:pStyle w:val="Heading2"/>
        <w:spacing w:after="120" w:before="280"/>
      </w:pPr>
      <w:r>
        <w:rPr>
          <w:rFonts w:ascii="Calibri" w:cs="Calibri" w:eastAsia="Calibri" w:hAnsi="Calibri"/>
          <w:b/>
          <w:bCs/>
          <w:color w:val="0E6B6B"/>
          <w:sz w:val="26"/>
          <w:szCs w:val="26"/>
        </w:rPr>
        <w:t xml:space="preserve">2.1 Aladdin as an operating system</w:t>
      </w:r>
    </w:p>
    <w:p>
      <w:pPr>
        <w:spacing w:after="120" w:before="0" w:line="276"/>
      </w:pPr>
      <w:r>
        <w:rPr>
          <w:rFonts w:ascii="Calibri" w:cs="Calibri" w:eastAsia="Calibri" w:hAnsi="Calibri"/>
          <w:b w:val="false"/>
          <w:bCs w:val="false"/>
          <w:i w:val="false"/>
          <w:iCs w:val="false"/>
          <w:color w:val="334155"/>
          <w:sz w:val="22"/>
          <w:szCs w:val="22"/>
        </w:rPr>
        <w:t xml:space="preserve">Aladdin is not a risk calculator bolted onto a PMS. It is the operating system of an investment organization:</w:t>
      </w:r>
    </w:p>
    <w:p>
      <w:pPr>
        <w:pStyle w:val="ListParagraph"/>
        <w:numPr>
          <w:ilvl w:val="0"/>
          <w:numId w:val="2"/>
        </w:numPr>
        <w:spacing w:after="60" w:line="260"/>
      </w:pPr>
      <w:r>
        <w:rPr>
          <w:rFonts w:ascii="Calibri" w:cs="Calibri" w:eastAsia="Calibri" w:hAnsi="Calibri"/>
          <w:color w:val="334155"/>
          <w:sz w:val="21"/>
          <w:szCs w:val="21"/>
        </w:rPr>
        <w:t xml:space="preserve">Interactive risk reporting and analytics across thousands of risk factors.</w:t>
      </w:r>
    </w:p>
    <w:p>
      <w:pPr>
        <w:pStyle w:val="ListParagraph"/>
        <w:numPr>
          <w:ilvl w:val="0"/>
          <w:numId w:val="2"/>
        </w:numPr>
        <w:spacing w:after="60" w:line="260"/>
      </w:pPr>
      <w:r>
        <w:rPr>
          <w:rFonts w:ascii="Calibri" w:cs="Calibri" w:eastAsia="Calibri" w:hAnsi="Calibri"/>
          <w:color w:val="334155"/>
          <w:sz w:val="21"/>
          <w:szCs w:val="21"/>
        </w:rPr>
        <w:t xml:space="preserve">Portfolio management tools: construction, rebalancing, cash, look-through.</w:t>
      </w:r>
    </w:p>
    <w:p>
      <w:pPr>
        <w:pStyle w:val="ListParagraph"/>
        <w:numPr>
          <w:ilvl w:val="0"/>
          <w:numId w:val="2"/>
        </w:numPr>
        <w:spacing w:after="60" w:line="260"/>
      </w:pPr>
      <w:r>
        <w:rPr>
          <w:rFonts w:ascii="Calibri" w:cs="Calibri" w:eastAsia="Calibri" w:hAnsi="Calibri"/>
          <w:color w:val="334155"/>
          <w:sz w:val="21"/>
          <w:szCs w:val="21"/>
        </w:rPr>
        <w:t xml:space="preserve">Trading: order management, allocation, execution connectivity.</w:t>
      </w:r>
    </w:p>
    <w:p>
      <w:pPr>
        <w:pStyle w:val="ListParagraph"/>
        <w:numPr>
          <w:ilvl w:val="0"/>
          <w:numId w:val="2"/>
        </w:numPr>
        <w:spacing w:after="60" w:line="260"/>
      </w:pPr>
      <w:r>
        <w:rPr>
          <w:rFonts w:ascii="Calibri" w:cs="Calibri" w:eastAsia="Calibri" w:hAnsi="Calibri"/>
          <w:color w:val="334155"/>
          <w:sz w:val="21"/>
          <w:szCs w:val="21"/>
        </w:rPr>
        <w:t xml:space="preserve">Compliance: pre-trade, post-trade, guideline workbench, exception workflow.</w:t>
      </w:r>
    </w:p>
    <w:p>
      <w:pPr>
        <w:pStyle w:val="ListParagraph"/>
        <w:numPr>
          <w:ilvl w:val="0"/>
          <w:numId w:val="2"/>
        </w:numPr>
        <w:spacing w:after="60" w:line="260"/>
      </w:pPr>
      <w:r>
        <w:rPr>
          <w:rFonts w:ascii="Calibri" w:cs="Calibri" w:eastAsia="Calibri" w:hAnsi="Calibri"/>
          <w:color w:val="334155"/>
          <w:sz w:val="21"/>
          <w:szCs w:val="21"/>
        </w:rPr>
        <w:t xml:space="preserve">Operations: confirmation, reconciliation, corporate actions, derivatives ops.</w:t>
      </w:r>
    </w:p>
    <w:p>
      <w:pPr>
        <w:pStyle w:val="ListParagraph"/>
        <w:numPr>
          <w:ilvl w:val="0"/>
          <w:numId w:val="2"/>
        </w:numPr>
        <w:spacing w:after="60" w:line="260"/>
      </w:pPr>
      <w:r>
        <w:rPr>
          <w:rFonts w:ascii="Calibri" w:cs="Calibri" w:eastAsia="Calibri" w:hAnsi="Calibri"/>
          <w:color w:val="334155"/>
          <w:sz w:val="21"/>
          <w:szCs w:val="21"/>
        </w:rPr>
        <w:t xml:space="preserve">Performance and attribution on holdings, not spreadsheet reconstructions.</w:t>
      </w:r>
    </w:p>
    <w:p>
      <w:pPr>
        <w:pStyle w:val="ListParagraph"/>
        <w:numPr>
          <w:ilvl w:val="0"/>
          <w:numId w:val="2"/>
        </w:numPr>
        <w:spacing w:after="60" w:line="260"/>
      </w:pPr>
      <w:r>
        <w:rPr>
          <w:rFonts w:ascii="Calibri" w:cs="Calibri" w:eastAsia="Calibri" w:hAnsi="Calibri"/>
          <w:color w:val="334155"/>
          <w:sz w:val="21"/>
          <w:szCs w:val="21"/>
        </w:rPr>
        <w:t xml:space="preserve">Investment accounting that can feed or reconcile an ABOR.</w:t>
      </w:r>
    </w:p>
    <w:p>
      <w:pPr>
        <w:pStyle w:val="ListParagraph"/>
        <w:numPr>
          <w:ilvl w:val="0"/>
          <w:numId w:val="2"/>
        </w:numPr>
        <w:spacing w:after="60" w:line="260"/>
      </w:pPr>
      <w:r>
        <w:rPr>
          <w:rFonts w:ascii="Calibri" w:cs="Calibri" w:eastAsia="Calibri" w:hAnsi="Calibri"/>
          <w:color w:val="334155"/>
          <w:sz w:val="21"/>
          <w:szCs w:val="21"/>
        </w:rPr>
        <w:t xml:space="preserve">Delivered as a service: implementation, data interfaces, daily risk, facilities, ongoing change.</w:t>
      </w:r>
    </w:p>
    <w:p>
      <w:pPr>
        <w:pStyle w:val="Heading2"/>
        <w:spacing w:after="120" w:before="280"/>
      </w:pPr>
      <w:r>
        <w:rPr>
          <w:rFonts w:ascii="Calibri" w:cs="Calibri" w:eastAsia="Calibri" w:hAnsi="Calibri"/>
          <w:b/>
          <w:bCs/>
          <w:color w:val="0E6B6B"/>
          <w:sz w:val="26"/>
          <w:szCs w:val="26"/>
        </w:rPr>
        <w:t xml:space="preserve">2.2 The problem Aladdin was built to kill</w:t>
      </w:r>
    </w:p>
    <w:p>
      <w:pPr>
        <w:spacing w:after="120" w:before="0" w:line="276"/>
      </w:pPr>
      <w:r>
        <w:rPr>
          <w:rFonts w:ascii="Calibri" w:cs="Calibri" w:eastAsia="Calibri" w:hAnsi="Calibri"/>
          <w:b w:val="false"/>
          <w:bCs w:val="false"/>
          <w:i w:val="false"/>
          <w:iCs w:val="false"/>
          <w:color w:val="334155"/>
          <w:sz w:val="22"/>
          <w:szCs w:val="22"/>
        </w:rPr>
        <w:t xml:space="preserve">The multi-vendor environment: no centralized risk or market data, the same process run by different people in different locations, overlapping tools that disagree on positions. Result: data discrepancies, delayed decisions, and an inability to see the whole scheme after pooling.</w:t>
      </w:r>
    </w:p>
    <w:p>
      <w:pPr>
        <w:spacing w:after="120" w:before="0" w:line="276"/>
      </w:pPr>
      <w:r>
        <w:rPr>
          <w:rFonts w:ascii="Calibri" w:cs="Calibri" w:eastAsia="Calibri" w:hAnsi="Calibri"/>
          <w:b w:val="false"/>
          <w:bCs w:val="false"/>
          <w:i w:val="false"/>
          <w:iCs w:val="false"/>
          <w:color w:val="334155"/>
          <w:sz w:val="22"/>
          <w:szCs w:val="22"/>
        </w:rPr>
        <w:t xml:space="preserve">The Aladdin environment: one IBOR, one process for all portfolios and product types, APIs out to accounting and non-investment systems, third-party data in, external communications out. Result: simplicity, control, efficiency, scale.</w:t>
      </w:r>
    </w:p>
    <w:p>
      <w:pPr>
        <w:pStyle w:val="Heading2"/>
        <w:spacing w:after="120" w:before="280"/>
      </w:pPr>
      <w:r>
        <w:rPr>
          <w:rFonts w:ascii="Calibri" w:cs="Calibri" w:eastAsia="Calibri" w:hAnsi="Calibri"/>
          <w:b/>
          <w:bCs/>
          <w:color w:val="0E6B6B"/>
          <w:sz w:val="26"/>
          <w:szCs w:val="26"/>
        </w:rPr>
        <w:t xml:space="preserve">2.3 What 2024–2026 added to the analog</w:t>
      </w:r>
    </w:p>
    <w:p>
      <w:pPr>
        <w:pStyle w:val="ListParagraph"/>
        <w:numPr>
          <w:ilvl w:val="0"/>
          <w:numId w:val="2"/>
        </w:numPr>
        <w:spacing w:after="60" w:line="260"/>
      </w:pPr>
      <w:r>
        <w:rPr>
          <w:rFonts w:ascii="Calibri" w:cs="Calibri" w:eastAsia="Calibri" w:hAnsi="Calibri"/>
          <w:color w:val="334155"/>
          <w:sz w:val="21"/>
          <w:szCs w:val="21"/>
        </w:rPr>
        <w:t xml:space="preserve">Whole Portfolio: public and private markets on one IBOR, including fund look-through and pacing.</w:t>
      </w:r>
    </w:p>
    <w:p>
      <w:pPr>
        <w:pStyle w:val="ListParagraph"/>
        <w:numPr>
          <w:ilvl w:val="0"/>
          <w:numId w:val="2"/>
        </w:numPr>
        <w:spacing w:after="60" w:line="260"/>
      </w:pPr>
      <w:r>
        <w:rPr>
          <w:rFonts w:ascii="Calibri" w:cs="Calibri" w:eastAsia="Calibri" w:hAnsi="Calibri"/>
          <w:color w:val="334155"/>
          <w:sz w:val="21"/>
          <w:szCs w:val="21"/>
        </w:rPr>
        <w:t xml:space="preserve">Aladdin Accounting: locked-period official returns, fund NAV oversight, GIPS composites.</w:t>
      </w:r>
    </w:p>
    <w:p>
      <w:pPr>
        <w:pStyle w:val="ListParagraph"/>
        <w:numPr>
          <w:ilvl w:val="0"/>
          <w:numId w:val="2"/>
        </w:numPr>
        <w:spacing w:after="60" w:line="260"/>
      </w:pPr>
      <w:r>
        <w:rPr>
          <w:rFonts w:ascii="Calibri" w:cs="Calibri" w:eastAsia="Calibri" w:hAnsi="Calibri"/>
          <w:color w:val="334155"/>
          <w:sz w:val="21"/>
          <w:szCs w:val="21"/>
        </w:rPr>
        <w:t xml:space="preserve">eFront-class private markets: commitments, capital calls, NAV, PE/RE/infra risk.</w:t>
      </w:r>
    </w:p>
    <w:p>
      <w:pPr>
        <w:pStyle w:val="ListParagraph"/>
        <w:numPr>
          <w:ilvl w:val="0"/>
          <w:numId w:val="2"/>
        </w:numPr>
        <w:spacing w:after="60" w:line="260"/>
      </w:pPr>
      <w:r>
        <w:rPr>
          <w:rFonts w:ascii="Calibri" w:cs="Calibri" w:eastAsia="Calibri" w:hAnsi="Calibri"/>
          <w:color w:val="334155"/>
          <w:sz w:val="21"/>
          <w:szCs w:val="21"/>
        </w:rPr>
        <w:t xml:space="preserve">Digital-asset coverage on the same risk book.</w:t>
      </w:r>
    </w:p>
    <w:p>
      <w:pPr>
        <w:pStyle w:val="ListParagraph"/>
        <w:numPr>
          <w:ilvl w:val="0"/>
          <w:numId w:val="2"/>
        </w:numPr>
        <w:spacing w:after="60" w:line="260"/>
      </w:pPr>
      <w:r>
        <w:rPr>
          <w:rFonts w:ascii="Calibri" w:cs="Calibri" w:eastAsia="Calibri" w:hAnsi="Calibri"/>
          <w:color w:val="334155"/>
          <w:sz w:val="21"/>
          <w:szCs w:val="21"/>
        </w:rPr>
        <w:t xml:space="preserve">Aladdin Copilot: natural language over governed platform data.</w:t>
      </w:r>
    </w:p>
    <w:p>
      <w:pPr>
        <w:pStyle w:val="ListParagraph"/>
        <w:numPr>
          <w:ilvl w:val="0"/>
          <w:numId w:val="2"/>
        </w:numPr>
        <w:spacing w:after="60" w:line="260"/>
      </w:pPr>
      <w:r>
        <w:rPr>
          <w:rFonts w:ascii="Calibri" w:cs="Calibri" w:eastAsia="Calibri" w:hAnsi="Calibri"/>
          <w:color w:val="334155"/>
          <w:sz w:val="21"/>
          <w:szCs w:val="21"/>
        </w:rPr>
        <w:t xml:space="preserve">IBOR programs at asset managers and insurers as the explicit middle-office spine.</w:t>
      </w:r>
    </w:p>
    <w:p>
      <w:pPr>
        <w:pStyle w:val="Heading1"/>
        <w:pBdr>
          <w:bottom w:val="single" w:color="0E6B6B" w:sz="12" w:space="6"/>
        </w:pBdr>
        <w:spacing w:after="160" w:before="360"/>
      </w:pPr>
      <w:r>
        <w:rPr>
          <w:rFonts w:ascii="Calibri" w:cs="Calibri" w:eastAsia="Calibri" w:hAnsi="Calibri"/>
          <w:b/>
          <w:bCs/>
          <w:color w:val="0B1F3A"/>
          <w:sz w:val="32"/>
          <w:szCs w:val="32"/>
        </w:rPr>
        <w:t xml:space="preserve">3. Product definition</w:t>
      </w:r>
    </w:p>
    <w:p>
      <w:pPr>
        <w:pStyle w:val="Heading2"/>
        <w:spacing w:after="120" w:before="280"/>
      </w:pPr>
      <w:r>
        <w:rPr>
          <w:rFonts w:ascii="Calibri" w:cs="Calibri" w:eastAsia="Calibri" w:hAnsi="Calibri"/>
          <w:b/>
          <w:bCs/>
          <w:color w:val="0E6B6B"/>
          <w:sz w:val="26"/>
          <w:szCs w:val="26"/>
        </w:rPr>
        <w:t xml:space="preserve">3.1 One-sentence product</w:t>
      </w:r>
    </w:p>
    <w:p>
      <w:pPr>
        <w:spacing w:after="120" w:before="0" w:line="276"/>
      </w:pPr>
      <w:r>
        <w:rPr>
          <w:rFonts w:ascii="Calibri" w:cs="Calibri" w:eastAsia="Calibri" w:hAnsi="Calibri"/>
          <w:b w:val="false"/>
          <w:bCs w:val="false"/>
          <w:i w:val="false"/>
          <w:iCs w:val="false"/>
          <w:color w:val="334155"/>
          <w:sz w:val="22"/>
          <w:szCs w:val="22"/>
        </w:rPr>
        <w:t xml:space="preserve">MESTA-ASSET is a multi-tenant, ontology-grounded investment operating system that gives an institution one live book of record, one risk language, and one set of governed actions from research through accounting.</w:t>
      </w:r>
    </w:p>
    <w:p>
      <w:pPr>
        <w:pStyle w:val="Heading2"/>
        <w:spacing w:after="120" w:before="280"/>
      </w:pPr>
      <w:r>
        <w:rPr>
          <w:rFonts w:ascii="Calibri" w:cs="Calibri" w:eastAsia="Calibri" w:hAnsi="Calibri"/>
          <w:b/>
          <w:bCs/>
          <w:color w:val="0E6B6B"/>
          <w:sz w:val="26"/>
          <w:szCs w:val="26"/>
        </w:rPr>
        <w:t xml:space="preserve">3.2 Lines of business (mirroring BlackRock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Line</w:t>
            </w:r>
          </w:p>
        </w:tc>
        <w:tc>
          <w:tcPr>
            <w:tcW w:type="dxa" w:w="28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MESTA analog</w:t>
            </w:r>
          </w:p>
        </w:tc>
        <w:tc>
          <w:tcPr>
            <w:tcW w:type="dxa" w:w="43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What it sells</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Platform</w:t>
            </w:r>
          </w:p>
        </w:tc>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MESTA-ASSET Core + Risk</w:t>
            </w:r>
          </w:p>
        </w:tc>
        <w:tc>
          <w:tcPr>
            <w:tcW w:type="dxa" w:w="4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IBOR, risk engine, PMS, trading, compliance, ops, performance on one ontology</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Client Solutions</w:t>
            </w:r>
          </w:p>
        </w:tc>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Advisory Fabric</w:t>
            </w:r>
          </w:p>
        </w:tc>
        <w:tc>
          <w:tcPr>
            <w:tcW w:type="dxa" w:w="43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Strategic/tactical allocation, risk budgeting, optimization, education packs on the same objects</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Markets Advisory</w:t>
            </w:r>
          </w:p>
        </w:tc>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Special Situations</w:t>
            </w:r>
          </w:p>
        </w:tc>
        <w:tc>
          <w:tcPr>
            <w:tcW w:type="dxa" w:w="4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Valuation, ALM, distressed disposition, bespoke models as ontology-backed workspaces</w:t>
            </w:r>
          </w:p>
        </w:tc>
      </w:tr>
    </w:tbl>
    <w:p>
      <w:pPr>
        <w:pStyle w:val="Heading2"/>
        <w:spacing w:after="120" w:before="280"/>
      </w:pPr>
      <w:r>
        <w:rPr>
          <w:rFonts w:ascii="Calibri" w:cs="Calibri" w:eastAsia="Calibri" w:hAnsi="Calibri"/>
          <w:b/>
          <w:bCs/>
          <w:color w:val="0E6B6B"/>
          <w:sz w:val="26"/>
          <w:szCs w:val="26"/>
        </w:rPr>
        <w:t xml:space="preserve">3.3 Design principles</w:t>
      </w:r>
    </w:p>
    <w:p>
      <w:pPr>
        <w:pStyle w:val="ListParagraph"/>
        <w:numPr>
          <w:ilvl w:val="0"/>
          <w:numId w:val="2"/>
        </w:numPr>
        <w:spacing w:after="60" w:line="260"/>
      </w:pPr>
      <w:r>
        <w:rPr>
          <w:rFonts w:ascii="Calibri" w:cs="Calibri" w:eastAsia="Calibri" w:hAnsi="Calibri"/>
          <w:color w:val="334155"/>
          <w:sz w:val="21"/>
          <w:szCs w:val="21"/>
        </w:rPr>
        <w:t xml:space="preserve">One meaning of position. IBOR is the only book front and middle office may treat as live.</w:t>
      </w:r>
    </w:p>
    <w:p>
      <w:pPr>
        <w:pStyle w:val="ListParagraph"/>
        <w:numPr>
          <w:ilvl w:val="0"/>
          <w:numId w:val="2"/>
        </w:numPr>
        <w:spacing w:after="60" w:line="260"/>
      </w:pPr>
      <w:r>
        <w:rPr>
          <w:rFonts w:ascii="Calibri" w:cs="Calibri" w:eastAsia="Calibri" w:hAnsi="Calibri"/>
          <w:color w:val="334155"/>
          <w:sz w:val="21"/>
          <w:szCs w:val="21"/>
        </w:rPr>
        <w:t xml:space="preserve">Ontology before screens. Object, Link, and Action Types are designed before Workshop apps or APIs.</w:t>
      </w:r>
    </w:p>
    <w:p>
      <w:pPr>
        <w:pStyle w:val="ListParagraph"/>
        <w:numPr>
          <w:ilvl w:val="0"/>
          <w:numId w:val="2"/>
        </w:numPr>
        <w:spacing w:after="60" w:line="260"/>
      </w:pPr>
      <w:r>
        <w:rPr>
          <w:rFonts w:ascii="Calibri" w:cs="Calibri" w:eastAsia="Calibri" w:hAnsi="Calibri"/>
          <w:color w:val="334155"/>
          <w:sz w:val="21"/>
          <w:szCs w:val="21"/>
        </w:rPr>
        <w:t xml:space="preserve">Actions are production APIs. Every write is an Action Type with side effects, entitlements, and audit.</w:t>
      </w:r>
    </w:p>
    <w:p>
      <w:pPr>
        <w:pStyle w:val="ListParagraph"/>
        <w:numPr>
          <w:ilvl w:val="0"/>
          <w:numId w:val="2"/>
        </w:numPr>
        <w:spacing w:after="60" w:line="260"/>
      </w:pPr>
      <w:r>
        <w:rPr>
          <w:rFonts w:ascii="Calibri" w:cs="Calibri" w:eastAsia="Calibri" w:hAnsi="Calibri"/>
          <w:color w:val="334155"/>
          <w:sz w:val="21"/>
          <w:szCs w:val="21"/>
        </w:rPr>
        <w:t xml:space="preserve">Risk is a first-class object, not a report export. A RiskRun links to Portfolio, Scenario, Factor, and Holding.</w:t>
      </w:r>
    </w:p>
    <w:p>
      <w:pPr>
        <w:pStyle w:val="ListParagraph"/>
        <w:numPr>
          <w:ilvl w:val="0"/>
          <w:numId w:val="2"/>
        </w:numPr>
        <w:spacing w:after="60" w:line="260"/>
      </w:pPr>
      <w:r>
        <w:rPr>
          <w:rFonts w:ascii="Calibri" w:cs="Calibri" w:eastAsia="Calibri" w:hAnsi="Calibri"/>
          <w:color w:val="334155"/>
          <w:sz w:val="21"/>
          <w:szCs w:val="21"/>
        </w:rPr>
        <w:t xml:space="preserve">Look-through is a link, not a spreadsheet. Fund → underlying holdings is a governed graph walk.</w:t>
      </w:r>
    </w:p>
    <w:p>
      <w:pPr>
        <w:pStyle w:val="ListParagraph"/>
        <w:numPr>
          <w:ilvl w:val="0"/>
          <w:numId w:val="2"/>
        </w:numPr>
        <w:spacing w:after="60" w:line="260"/>
      </w:pPr>
      <w:r>
        <w:rPr>
          <w:rFonts w:ascii="Calibri" w:cs="Calibri" w:eastAsia="Calibri" w:hAnsi="Calibri"/>
          <w:color w:val="334155"/>
          <w:sz w:val="21"/>
          <w:szCs w:val="21"/>
        </w:rPr>
        <w:t xml:space="preserve">Service, not software. Tenants get a dedicated instance, managed data interfaces, and a change train.</w:t>
      </w:r>
    </w:p>
    <w:p>
      <w:pPr>
        <w:pStyle w:val="ListParagraph"/>
        <w:numPr>
          <w:ilvl w:val="0"/>
          <w:numId w:val="2"/>
        </w:numPr>
        <w:spacing w:after="60" w:line="260"/>
      </w:pPr>
      <w:r>
        <w:rPr>
          <w:rFonts w:ascii="Calibri" w:cs="Calibri" w:eastAsia="Calibri" w:hAnsi="Calibri"/>
          <w:color w:val="334155"/>
          <w:sz w:val="21"/>
          <w:szCs w:val="21"/>
        </w:rPr>
        <w:t xml:space="preserve">Concept inventory first. Every user-facing concept (Mandate, Guideline, Cash Ladder, Commitment) is an explicit concept object before UI ships.</w:t>
      </w:r>
    </w:p>
    <w:p>
      <w:pPr>
        <w:pStyle w:val="Heading1"/>
        <w:pBdr>
          <w:bottom w:val="single" w:color="0E6B6B" w:sz="12" w:space="6"/>
        </w:pBdr>
        <w:spacing w:after="160" w:before="360"/>
      </w:pPr>
      <w:r>
        <w:rPr>
          <w:rFonts w:ascii="Calibri" w:cs="Calibri" w:eastAsia="Calibri" w:hAnsi="Calibri"/>
          <w:b/>
          <w:bCs/>
          <w:color w:val="0B1F3A"/>
          <w:sz w:val="32"/>
          <w:szCs w:val="32"/>
        </w:rPr>
        <w:t xml:space="preserve">4. Capability map: Aladdin → MESTA-ASSET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Aladdin capability</w:t>
            </w:r>
          </w:p>
        </w:tc>
        <w:tc>
          <w:tcPr>
            <w:tcW w:type="dxa" w:w="26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MESTA-ASSET module</w:t>
            </w:r>
          </w:p>
        </w:tc>
        <w:tc>
          <w:tcPr>
            <w:tcW w:type="dxa" w:w="41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Ontology spine</w:t>
            </w:r>
          </w:p>
        </w:tc>
      </w:tr>
      <w:tr>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Aladdin Risk / factors / stress</w:t>
            </w:r>
          </w:p>
        </w:tc>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Risk</w:t>
            </w:r>
          </w:p>
        </w:tc>
        <w:tc>
          <w:tcPr>
            <w:tcW w:type="dxa" w:w="41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RiskModel, RiskFactor, Scenario, RiskRun, StressResult</w:t>
            </w:r>
          </w:p>
        </w:tc>
      </w:tr>
      <w:tr>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management tools</w:t>
            </w:r>
          </w:p>
        </w:tc>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Portfolio</w:t>
            </w:r>
          </w:p>
        </w:tc>
        <w:tc>
          <w:tcPr>
            <w:tcW w:type="dxa" w:w="41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Mandate, Holding, CashPosition, Rebalance</w:t>
            </w:r>
          </w:p>
        </w:tc>
      </w:tr>
      <w:tr>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Trading / OMS</w:t>
            </w:r>
          </w:p>
        </w:tc>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Trade</w:t>
            </w:r>
          </w:p>
        </w:tc>
        <w:tc>
          <w:tcPr>
            <w:tcW w:type="dxa" w:w="41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Order, Allocation, Execution, Venue, Broker</w:t>
            </w:r>
          </w:p>
        </w:tc>
      </w:tr>
      <w:tr>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Pre/post-trade compliance</w:t>
            </w:r>
          </w:p>
        </w:tc>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Guard</w:t>
            </w:r>
          </w:p>
        </w:tc>
        <w:tc>
          <w:tcPr>
            <w:tcW w:type="dxa" w:w="41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Guideline, Rule, Breach, Exception, Approval</w:t>
            </w:r>
          </w:p>
        </w:tc>
      </w:tr>
      <w:tr>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Operations / STP</w:t>
            </w:r>
          </w:p>
        </w:tc>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Ops</w:t>
            </w:r>
          </w:p>
        </w:tc>
        <w:tc>
          <w:tcPr>
            <w:tcW w:type="dxa" w:w="41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Confirmation, Settlement, Reconciliation, CorpAction</w:t>
            </w:r>
          </w:p>
        </w:tc>
      </w:tr>
      <w:tr>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Performance &amp; attribution</w:t>
            </w:r>
          </w:p>
        </w:tc>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Return</w:t>
            </w:r>
          </w:p>
        </w:tc>
        <w:tc>
          <w:tcPr>
            <w:tcW w:type="dxa" w:w="41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ReturnSeries, Attribution, Benchmark, Composite</w:t>
            </w:r>
          </w:p>
        </w:tc>
      </w:tr>
      <w:tr>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Investment accounting</w:t>
            </w:r>
          </w:p>
        </w:tc>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Ledger</w:t>
            </w:r>
          </w:p>
        </w:tc>
        <w:tc>
          <w:tcPr>
            <w:tcW w:type="dxa" w:w="41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Journal, BookValue, NAV, ShareClass, OfficialPeriod</w:t>
            </w:r>
          </w:p>
        </w:tc>
      </w:tr>
      <w:tr>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IBOR</w:t>
            </w:r>
          </w:p>
        </w:tc>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Book</w:t>
            </w:r>
          </w:p>
        </w:tc>
        <w:tc>
          <w:tcPr>
            <w:tcW w:type="dxa" w:w="41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Position, Transaction, Valuation, Price, Identifier</w:t>
            </w:r>
          </w:p>
        </w:tc>
      </w:tr>
      <w:tr>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Private markets / eFront-class</w:t>
            </w:r>
          </w:p>
        </w:tc>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Private</w:t>
            </w:r>
          </w:p>
        </w:tc>
        <w:tc>
          <w:tcPr>
            <w:tcW w:type="dxa" w:w="41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FundVehicle, Commitment, CapitalCall, Distribution</w:t>
            </w:r>
          </w:p>
        </w:tc>
      </w:tr>
      <w:tr>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Whole portfolio / ALM</w:t>
            </w:r>
          </w:p>
        </w:tc>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Whole</w:t>
            </w:r>
          </w:p>
        </w:tc>
        <w:tc>
          <w:tcPr>
            <w:tcW w:type="dxa" w:w="41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Liability, Cashflow, ALMGap, PacingPlan</w:t>
            </w:r>
          </w:p>
        </w:tc>
      </w:tr>
      <w:tr>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Copilot</w:t>
            </w:r>
          </w:p>
        </w:tc>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Copilot</w:t>
            </w:r>
          </w:p>
        </w:tc>
        <w:tc>
          <w:tcPr>
            <w:tcW w:type="dxa" w:w="41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AgentSession grounded on queryable objects + approved Actions</w:t>
            </w:r>
          </w:p>
        </w:tc>
      </w:tr>
      <w:tr>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Developer surface</w:t>
            </w:r>
          </w:p>
        </w:tc>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Mesta Marquee API</w:t>
            </w:r>
          </w:p>
        </w:tc>
        <w:tc>
          <w:tcPr>
            <w:tcW w:type="dxa" w:w="41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Asset, Dataset, Measure, Report — public HTTP on ontology</w:t>
            </w:r>
          </w:p>
        </w:tc>
      </w:tr>
    </w:tbl>
    <w:p>
      <w:pPr>
        <w:pStyle w:val="Heading1"/>
        <w:pBdr>
          <w:bottom w:val="single" w:color="0E6B6B" w:sz="12" w:space="6"/>
        </w:pBdr>
        <w:spacing w:after="160" w:before="360"/>
      </w:pPr>
      <w:r>
        <w:rPr>
          <w:rFonts w:ascii="Calibri" w:cs="Calibri" w:eastAsia="Calibri" w:hAnsi="Calibri"/>
          <w:b/>
          <w:bCs/>
          <w:color w:val="0B1F3A"/>
          <w:sz w:val="32"/>
          <w:szCs w:val="32"/>
        </w:rPr>
        <w:t xml:space="preserve">5. Architecture</w:t>
      </w:r>
    </w:p>
    <w:p>
      <w:pPr>
        <w:pStyle w:val="Heading2"/>
        <w:spacing w:after="120" w:before="280"/>
      </w:pPr>
      <w:r>
        <w:rPr>
          <w:rFonts w:ascii="Calibri" w:cs="Calibri" w:eastAsia="Calibri" w:hAnsi="Calibri"/>
          <w:b/>
          <w:bCs/>
          <w:color w:val="0E6B6B"/>
          <w:sz w:val="26"/>
          <w:szCs w:val="26"/>
        </w:rPr>
        <w:t xml:space="preserve">5.1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Layer</w:t>
            </w:r>
          </w:p>
        </w:tc>
        <w:tc>
          <w:tcPr>
            <w:tcW w:type="dxa" w:w="67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Responsibility</w:t>
            </w:r>
          </w:p>
        </w:tc>
      </w:tr>
      <w:tr>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Experience</w:t>
            </w:r>
          </w:p>
        </w:tc>
        <w:tc>
          <w:tcPr>
            <w:tcW w:type="dxa" w:w="67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workbench, risk studio, compliance workbench, trade blotter, Copilot, owner dashboards</w:t>
            </w:r>
          </w:p>
        </w:tc>
      </w:tr>
      <w:tr>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Action &amp; agent</w:t>
            </w:r>
          </w:p>
        </w:tc>
        <w:tc>
          <w:tcPr>
            <w:tcW w:type="dxa" w:w="67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Deterministic Action Types, AIP-style agents, approval graphs, scheduled jobs</w:t>
            </w:r>
          </w:p>
        </w:tc>
      </w:tr>
      <w:tr>
        <w:tc>
          <w:tcPr>
            <w:tcW w:type="dxa" w:w="2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Ontology / IBOR</w:t>
            </w:r>
          </w:p>
        </w:tc>
        <w:tc>
          <w:tcPr>
            <w:tcW w:type="dxa" w:w="67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Object Types, links, markings, row/object security, time validity, provenance</w:t>
            </w:r>
          </w:p>
        </w:tc>
      </w:tr>
      <w:tr>
        <w:tc>
          <w:tcPr>
            <w:tcW w:type="dxa" w:w="2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Ingest &amp; compute</w:t>
            </w:r>
          </w:p>
        </w:tc>
        <w:tc>
          <w:tcPr>
            <w:tcW w:type="dxa" w:w="67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Market data, custodian/admin feeds, pricing, risk grid, corporate actions, private NAVs</w:t>
            </w:r>
          </w:p>
        </w:tc>
      </w:tr>
    </w:tbl>
    <w:p>
      <w:pPr>
        <w:spacing w:after="140"/>
      </w:pPr>
    </w:p>
    <w:p>
      <w:pPr>
        <w:spacing w:after="120" w:before="0" w:line="276"/>
      </w:pPr>
      <w:r>
        <w:rPr>
          <w:rFonts w:ascii="Calibri" w:cs="Calibri" w:eastAsia="Calibri" w:hAnsi="Calibri"/>
          <w:b w:val="false"/>
          <w:bCs w:val="false"/>
          <w:i w:val="false"/>
          <w:iCs w:val="false"/>
          <w:color w:val="334155"/>
          <w:sz w:val="22"/>
          <w:szCs w:val="22"/>
        </w:rPr>
        <w:t xml:space="preserve">Applications never query raw warehouse tables for investment meaning. They query objects. Pipelines may be Spark/SQL underneath; the contract upward is the ontology.</w:t>
      </w:r>
    </w:p>
    <w:p>
      <w:pPr>
        <w:pStyle w:val="Heading2"/>
        <w:spacing w:after="120" w:before="280"/>
      </w:pPr>
      <w:r>
        <w:rPr>
          <w:rFonts w:ascii="Calibri" w:cs="Calibri" w:eastAsia="Calibri" w:hAnsi="Calibri"/>
          <w:b/>
          <w:bCs/>
          <w:color w:val="0E6B6B"/>
          <w:sz w:val="26"/>
          <w:szCs w:val="26"/>
        </w:rPr>
        <w:t xml:space="preserve">5.2 Single environment vs multi-vendor</w:t>
      </w:r>
    </w:p>
    <w:p>
      <w:pPr>
        <w:spacing w:after="120" w:before="0" w:line="276"/>
      </w:pPr>
      <w:r>
        <w:rPr>
          <w:rFonts w:ascii="Calibri" w:cs="Calibri" w:eastAsia="Calibri" w:hAnsi="Calibri"/>
          <w:b w:val="false"/>
          <w:bCs w:val="false"/>
          <w:i w:val="false"/>
          <w:iCs w:val="false"/>
          <w:color w:val="334155"/>
          <w:sz w:val="22"/>
          <w:szCs w:val="22"/>
        </w:rPr>
        <w:t xml:space="preserve">MESTA-ASSET reproduces the Aladdin “single environment” diagram:</w:t>
      </w:r>
    </w:p>
    <w:p>
      <w:pPr>
        <w:pStyle w:val="ListParagraph"/>
        <w:numPr>
          <w:ilvl w:val="0"/>
          <w:numId w:val="2"/>
        </w:numPr>
        <w:spacing w:after="60" w:line="260"/>
      </w:pPr>
      <w:r>
        <w:rPr>
          <w:rFonts w:ascii="Calibri" w:cs="Calibri" w:eastAsia="Calibri" w:hAnsi="Calibri"/>
          <w:color w:val="334155"/>
          <w:sz w:val="21"/>
          <w:szCs w:val="21"/>
        </w:rPr>
        <w:t xml:space="preserve">Inbound: third-party market data, custodian positions, administrator NAVs, broker confirms, private GP reports.</w:t>
      </w:r>
    </w:p>
    <w:p>
      <w:pPr>
        <w:pStyle w:val="ListParagraph"/>
        <w:numPr>
          <w:ilvl w:val="0"/>
          <w:numId w:val="2"/>
        </w:numPr>
        <w:spacing w:after="60" w:line="260"/>
      </w:pPr>
      <w:r>
        <w:rPr>
          <w:rFonts w:ascii="Calibri" w:cs="Calibri" w:eastAsia="Calibri" w:hAnsi="Calibri"/>
          <w:color w:val="334155"/>
          <w:sz w:val="21"/>
          <w:szCs w:val="21"/>
        </w:rPr>
        <w:t xml:space="preserve">Core: Mesta Book (IBOR) + ontology + risk grid + action runtime.</w:t>
      </w:r>
    </w:p>
    <w:p>
      <w:pPr>
        <w:pStyle w:val="ListParagraph"/>
        <w:numPr>
          <w:ilvl w:val="0"/>
          <w:numId w:val="2"/>
        </w:numPr>
        <w:spacing w:after="60" w:line="260"/>
      </w:pPr>
      <w:r>
        <w:rPr>
          <w:rFonts w:ascii="Calibri" w:cs="Calibri" w:eastAsia="Calibri" w:hAnsi="Calibri"/>
          <w:color w:val="334155"/>
          <w:sz w:val="21"/>
          <w:szCs w:val="21"/>
        </w:rPr>
        <w:t xml:space="preserve">Outbound: APIs to ABOR / general ledger, client reporting, non-investment systems, regulator packs.</w:t>
      </w:r>
    </w:p>
    <w:p>
      <w:pPr>
        <w:spacing w:after="120" w:before="0" w:line="276"/>
      </w:pPr>
      <w:r>
        <w:rPr>
          <w:rFonts w:ascii="Calibri" w:cs="Calibri" w:eastAsia="Calibri" w:hAnsi="Calibri"/>
          <w:b w:val="false"/>
          <w:bCs w:val="false"/>
          <w:i w:val="false"/>
          <w:iCs w:val="false"/>
          <w:color w:val="334155"/>
          <w:sz w:val="22"/>
          <w:szCs w:val="22"/>
        </w:rPr>
        <w:t xml:space="preserve">Dedicated instance per tenant. Shared software version. Configuration, guidelines, and data markings are tenant-local.</w:t>
      </w:r>
    </w:p>
    <w:p>
      <w:pPr>
        <w:pStyle w:val="Heading2"/>
        <w:spacing w:after="120" w:before="280"/>
      </w:pPr>
      <w:r>
        <w:rPr>
          <w:rFonts w:ascii="Calibri" w:cs="Calibri" w:eastAsia="Calibri" w:hAnsi="Calibri"/>
          <w:b/>
          <w:bCs/>
          <w:color w:val="0E6B6B"/>
          <w:sz w:val="26"/>
          <w:szCs w:val="26"/>
        </w:rPr>
        <w:t xml:space="preserve">5.3 Books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Book</w:t>
            </w:r>
          </w:p>
        </w:tc>
        <w:tc>
          <w:tcPr>
            <w:tcW w:type="dxa" w:w="65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Role in MESTA-ASSET</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IBOR — Mesta Book</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Live investment truth. Positions, pending trades, accrued income, look-through, collateral.</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TBOR</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Optional trading book of record for high-frequency or multi-OMS shops. Reconciles into IBOR.</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ABOR — Mesta Ledger or external</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Official books. MESTA either runs official periods or reconciles FA/custodian NAVs daily.</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RBOR</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Risk book: holdings as of risk as-of, plus derived factor exposures. Always reconcilable to IBOR.</w:t>
            </w:r>
          </w:p>
        </w:tc>
      </w:tr>
    </w:tbl>
    <w:p>
      <w:pPr>
        <w:pStyle w:val="Heading1"/>
        <w:pBdr>
          <w:bottom w:val="single" w:color="0E6B6B" w:sz="12" w:space="6"/>
        </w:pBdr>
        <w:spacing w:after="160" w:before="360"/>
      </w:pPr>
      <w:r>
        <w:rPr>
          <w:rFonts w:ascii="Calibri" w:cs="Calibri" w:eastAsia="Calibri" w:hAnsi="Calibri"/>
          <w:b/>
          <w:bCs/>
          <w:color w:val="0B1F3A"/>
          <w:sz w:val="32"/>
          <w:szCs w:val="32"/>
        </w:rPr>
        <w:t xml:space="preserve">6. Investment ontology (v0.1 schema)</w:t>
      </w:r>
    </w:p>
    <w:p>
      <w:pPr>
        <w:spacing w:after="120" w:before="0" w:line="276"/>
      </w:pPr>
      <w:r>
        <w:rPr>
          <w:rFonts w:ascii="Calibri" w:cs="Calibri" w:eastAsia="Calibri" w:hAnsi="Calibri"/>
          <w:b w:val="false"/>
          <w:bCs w:val="false"/>
          <w:i w:val="false"/>
          <w:iCs w:val="false"/>
          <w:color w:val="334155"/>
          <w:sz w:val="22"/>
          <w:szCs w:val="22"/>
        </w:rPr>
        <w:t xml:space="preserve">This is the Administrator-owned schema. Names are stable. Properties can deepen. New Object Types require a change request. Action Types are the highest-privilege surface.</w:t>
      </w:r>
    </w:p>
    <w:p>
      <w:pPr>
        <w:pStyle w:val="Heading2"/>
        <w:spacing w:after="120" w:before="280"/>
      </w:pPr>
      <w:r>
        <w:rPr>
          <w:rFonts w:ascii="Calibri" w:cs="Calibri" w:eastAsia="Calibri" w:hAnsi="Calibri"/>
          <w:b/>
          <w:bCs/>
          <w:color w:val="0E6B6B"/>
          <w:sz w:val="26"/>
          <w:szCs w:val="26"/>
        </w:rPr>
        <w:t xml:space="preserve">6.1 Core Object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Object Type</w:t>
            </w:r>
          </w:p>
        </w:tc>
        <w:tc>
          <w:tcPr>
            <w:tcW w:type="dxa" w:w="32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Meaning</w:t>
            </w:r>
          </w:p>
        </w:tc>
        <w:tc>
          <w:tcPr>
            <w:tcW w:type="dxa" w:w="39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Key properties</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LegalEntity</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Tenant, sub-advisor, employer, GP, broker, custodian</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lei, jurisdiction, role, marking</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Account</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Custody or trading account</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baseCcy, custodian, mandateRef</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Managed book or sleeve</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strategy, inception, parentPortfolio</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Mandate</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Investment objective and constraints</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benchmark, riskBudget, horizon</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Instrument</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Tradable or holdable thing</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assetClass, currency, seniority</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Identifier</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ISIN, CUSIP, SEDOL, ticker, Marquee-style id</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scheme, value, isPrimary</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Holding</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Quantity of an instrument in a portfolio as-of</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qty, dirtyMv, weight, asOf</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Transaction</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Economic event</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type, tradeDate, settleDate, qty, price</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Position</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IBOR position node</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longShort, pledged, availability</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CashPosition</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Currency balance + ladder</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ccy, available, projected</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Order</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Intent to trade</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side, tif, limit, status</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Allocation</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Order slice to a portfolio</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qty, avgPx</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Execution</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Fill against a venue/broker</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venue, broker, fee</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Guideline</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Rule attached to mandate/portfolio</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severity, preTrade, postTrade</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Breach</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Rule violation instance</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status, materiality</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Valuation</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Price or model value as-of</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source, price, dirtyClean</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RiskModel</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Named model version</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assetClassScope, factorCount</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RiskRun</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 computed risk snapshot</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asOf, horizon, status</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Scenario</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Historical or hypothetical shock</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type, magnitude</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Benchmark</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Reference portfolio or index</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family, currency</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ReturnSeries</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Time series of returns</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freq, grossNet, official</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Liability</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Pension or insurance obligation</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duration, valuationBasis</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FundVehicle</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PE/RE/HF/infra vehicle</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vintage, strategy, gp</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Commitment</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LP commitment</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committed, funded, remaining</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CapitalCall</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Drawdown event</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dueDate, amount</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Report</w:t>
            </w:r>
          </w:p>
        </w:tc>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Scheduled or ad-hoc analytic pack</w:t>
            </w:r>
          </w:p>
        </w:tc>
        <w:tc>
          <w:tcPr>
            <w:tcW w:type="dxa" w:w="39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measures, recipients</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Dataset</w:t>
            </w:r>
          </w:p>
        </w:tc>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Governed time-series or panel</w:t>
            </w:r>
          </w:p>
        </w:tc>
        <w:tc>
          <w:tcPr>
            <w:tcW w:type="dxa" w:w="39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frequency, vendor</w:t>
            </w:r>
          </w:p>
        </w:tc>
      </w:tr>
    </w:tbl>
    <w:p>
      <w:pPr>
        <w:pStyle w:val="Heading2"/>
        <w:spacing w:after="120" w:before="280"/>
      </w:pPr>
      <w:r>
        <w:rPr>
          <w:rFonts w:ascii="Calibri" w:cs="Calibri" w:eastAsia="Calibri" w:hAnsi="Calibri"/>
          <w:b/>
          <w:bCs/>
          <w:color w:val="0E6B6B"/>
          <w:sz w:val="26"/>
          <w:szCs w:val="26"/>
        </w:rPr>
        <w:t xml:space="preserve">6.2 Core Link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Link</w:t>
            </w:r>
          </w:p>
        </w:tc>
        <w:tc>
          <w:tcPr>
            <w:tcW w:type="dxa" w:w="34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From → To</w:t>
            </w:r>
          </w:p>
        </w:tc>
        <w:tc>
          <w:tcPr>
            <w:tcW w:type="dxa" w:w="37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Why it exists</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holds</w:t>
            </w:r>
          </w:p>
        </w:tc>
        <w:tc>
          <w:tcPr>
            <w:tcW w:type="dxa" w:w="3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 Holding → Instrument</w:t>
            </w:r>
          </w:p>
        </w:tc>
        <w:tc>
          <w:tcPr>
            <w:tcW w:type="dxa" w:w="37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The live book</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looksThrough</w:t>
            </w:r>
          </w:p>
        </w:tc>
        <w:tc>
          <w:tcPr>
            <w:tcW w:type="dxa" w:w="3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Instrument(Fund) → Holding</w:t>
            </w:r>
          </w:p>
        </w:tc>
        <w:tc>
          <w:tcPr>
            <w:tcW w:type="dxa" w:w="37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Whole-portfolio transparency</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governedBy</w:t>
            </w:r>
          </w:p>
        </w:tc>
        <w:tc>
          <w:tcPr>
            <w:tcW w:type="dxa" w:w="3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 Mandate → Guideline</w:t>
            </w:r>
          </w:p>
        </w:tc>
        <w:tc>
          <w:tcPr>
            <w:tcW w:type="dxa" w:w="37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Compliance binding</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executedAs</w:t>
            </w:r>
          </w:p>
        </w:tc>
        <w:tc>
          <w:tcPr>
            <w:tcW w:type="dxa" w:w="3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Order → Allocation → Execution</w:t>
            </w:r>
          </w:p>
        </w:tc>
        <w:tc>
          <w:tcPr>
            <w:tcW w:type="dxa" w:w="37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Trade lifecycle</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valuedBy</w:t>
            </w:r>
          </w:p>
        </w:tc>
        <w:tc>
          <w:tcPr>
            <w:tcW w:type="dxa" w:w="3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Instrument/Holding → Valuation</w:t>
            </w:r>
          </w:p>
        </w:tc>
        <w:tc>
          <w:tcPr>
            <w:tcW w:type="dxa" w:w="37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Price lineage</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measuredBy</w:t>
            </w:r>
          </w:p>
        </w:tc>
        <w:tc>
          <w:tcPr>
            <w:tcW w:type="dxa" w:w="3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 RiskRun → RiskModel</w:t>
            </w:r>
          </w:p>
        </w:tc>
        <w:tc>
          <w:tcPr>
            <w:tcW w:type="dxa" w:w="37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Risk is an object, not a file</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shockedBy</w:t>
            </w:r>
          </w:p>
        </w:tc>
        <w:tc>
          <w:tcPr>
            <w:tcW w:type="dxa" w:w="3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RiskRun → Scenario → StressResult</w:t>
            </w:r>
          </w:p>
        </w:tc>
        <w:tc>
          <w:tcPr>
            <w:tcW w:type="dxa" w:w="37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What-if and historical stress</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benchmarkedTo</w:t>
            </w:r>
          </w:p>
        </w:tc>
        <w:tc>
          <w:tcPr>
            <w:tcW w:type="dxa" w:w="3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Portfolio/Mandate → Benchmark</w:t>
            </w:r>
          </w:p>
        </w:tc>
        <w:tc>
          <w:tcPr>
            <w:tcW w:type="dxa" w:w="37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Relative risk and attribution</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servicedBy</w:t>
            </w:r>
          </w:p>
        </w:tc>
        <w:tc>
          <w:tcPr>
            <w:tcW w:type="dxa" w:w="3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Account → LegalEntity(Custodian)</w:t>
            </w:r>
          </w:p>
        </w:tc>
        <w:tc>
          <w:tcPr>
            <w:tcW w:type="dxa" w:w="37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Ops topology</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counterpartyOf</w:t>
            </w:r>
          </w:p>
        </w:tc>
        <w:tc>
          <w:tcPr>
            <w:tcW w:type="dxa" w:w="3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Transaction/Derivative → LegalEntity</w:t>
            </w:r>
          </w:p>
        </w:tc>
        <w:tc>
          <w:tcPr>
            <w:tcW w:type="dxa" w:w="37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Credit and CSA</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commitsTo</w:t>
            </w:r>
          </w:p>
        </w:tc>
        <w:tc>
          <w:tcPr>
            <w:tcW w:type="dxa" w:w="3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 Commitment → FundVehicle</w:t>
            </w:r>
          </w:p>
        </w:tc>
        <w:tc>
          <w:tcPr>
            <w:tcW w:type="dxa" w:w="37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Private markets</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hedges</w:t>
            </w:r>
          </w:p>
        </w:tc>
        <w:tc>
          <w:tcPr>
            <w:tcW w:type="dxa" w:w="3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Instrument → Liability or Portfolio</w:t>
            </w:r>
          </w:p>
        </w:tc>
        <w:tc>
          <w:tcPr>
            <w:tcW w:type="dxa" w:w="37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ALM and overlay</w:t>
            </w:r>
          </w:p>
        </w:tc>
      </w:tr>
      <w:tr>
        <w:tc>
          <w:tcPr>
            <w:tcW w:type="dxa" w:w="2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composedOf</w:t>
            </w:r>
          </w:p>
        </w:tc>
        <w:tc>
          <w:tcPr>
            <w:tcW w:type="dxa" w:w="3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 Portfolio</w:t>
            </w:r>
          </w:p>
        </w:tc>
        <w:tc>
          <w:tcPr>
            <w:tcW w:type="dxa" w:w="37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Pooling / master-feeder / sleeves</w:t>
            </w:r>
          </w:p>
        </w:tc>
      </w:tr>
      <w:tr>
        <w:tc>
          <w:tcPr>
            <w:tcW w:type="dxa" w:w="2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entitledOn</w:t>
            </w:r>
          </w:p>
        </w:tc>
        <w:tc>
          <w:tcPr>
            <w:tcW w:type="dxa" w:w="3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Identity/Role → Object</w:t>
            </w:r>
          </w:p>
        </w:tc>
        <w:tc>
          <w:tcPr>
            <w:tcW w:type="dxa" w:w="37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Object-level security</w:t>
            </w:r>
          </w:p>
        </w:tc>
      </w:tr>
    </w:tbl>
    <w:p>
      <w:pPr>
        <w:pStyle w:val="Heading2"/>
        <w:spacing w:after="120" w:before="280"/>
      </w:pPr>
      <w:r>
        <w:rPr>
          <w:rFonts w:ascii="Calibri" w:cs="Calibri" w:eastAsia="Calibri" w:hAnsi="Calibri"/>
          <w:b/>
          <w:bCs/>
          <w:color w:val="0E6B6B"/>
          <w:sz w:val="26"/>
          <w:szCs w:val="26"/>
        </w:rPr>
        <w:t xml:space="preserve">6.3 Action Types (write surface)</w:t>
      </w:r>
    </w:p>
    <w:p>
      <w:pPr>
        <w:spacing w:after="120" w:before="0" w:line="276"/>
      </w:pPr>
      <w:r>
        <w:rPr>
          <w:rFonts w:ascii="Calibri" w:cs="Calibri" w:eastAsia="Calibri" w:hAnsi="Calibri"/>
          <w:b w:val="false"/>
          <w:bCs w:val="false"/>
          <w:i w:val="false"/>
          <w:iCs w:val="false"/>
          <w:color w:val="334155"/>
          <w:sz w:val="22"/>
          <w:szCs w:val="22"/>
        </w:rPr>
        <w:t xml:space="preserve">Only these writes exist for agents and applications in v0.1. Anything else is a proposal to the Ontology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Action Type</w:t>
            </w:r>
          </w:p>
        </w:tc>
        <w:tc>
          <w:tcPr>
            <w:tcW w:type="dxa" w:w="36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Side effect</w:t>
            </w:r>
          </w:p>
        </w:tc>
        <w:tc>
          <w:tcPr>
            <w:tcW w:type="dxa" w:w="33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Guard</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CreateOrder</w:t>
            </w:r>
          </w:p>
        </w:tc>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Writes Order + draft Allocations</w:t>
            </w:r>
          </w:p>
        </w:tc>
        <w:tc>
          <w:tcPr>
            <w:tcW w:type="dxa" w:w="3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Pre-trade guideline eval must return pass or override</w:t>
            </w:r>
          </w:p>
        </w:tc>
      </w:tr>
      <w:tr>
        <w:tc>
          <w:tcPr>
            <w:tcW w:type="dxa" w:w="2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AllocateOrder</w:t>
            </w:r>
          </w:p>
        </w:tc>
        <w:tc>
          <w:tcPr>
            <w:tcW w:type="dxa" w:w="3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Splits Order across Portfolios</w:t>
            </w:r>
          </w:p>
        </w:tc>
        <w:tc>
          <w:tcPr>
            <w:tcW w:type="dxa" w:w="33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Mandate capacity + cash availability</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BookExecution</w:t>
            </w:r>
          </w:p>
        </w:tc>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Writes Execution, updates Position pending</w:t>
            </w:r>
          </w:p>
        </w:tc>
        <w:tc>
          <w:tcPr>
            <w:tcW w:type="dxa" w:w="3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Venue/broker allow-list</w:t>
            </w:r>
          </w:p>
        </w:tc>
      </w:tr>
      <w:tr>
        <w:tc>
          <w:tcPr>
            <w:tcW w:type="dxa" w:w="2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CancelOrder</w:t>
            </w:r>
          </w:p>
        </w:tc>
        <w:tc>
          <w:tcPr>
            <w:tcW w:type="dxa" w:w="3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Terminal status on open Order</w:t>
            </w:r>
          </w:p>
        </w:tc>
        <w:tc>
          <w:tcPr>
            <w:tcW w:type="dxa" w:w="33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Ops role or owner</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ProposeRebalance</w:t>
            </w:r>
          </w:p>
        </w:tc>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Creates Rebalance draft + candidate Orders</w:t>
            </w:r>
          </w:p>
        </w:tc>
        <w:tc>
          <w:tcPr>
            <w:tcW w:type="dxa" w:w="3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Risk budget + turnover cap</w:t>
            </w:r>
          </w:p>
        </w:tc>
      </w:tr>
      <w:tr>
        <w:tc>
          <w:tcPr>
            <w:tcW w:type="dxa" w:w="2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RunCompliance</w:t>
            </w:r>
          </w:p>
        </w:tc>
        <w:tc>
          <w:tcPr>
            <w:tcW w:type="dxa" w:w="3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Materializes Breach set as-of</w:t>
            </w:r>
          </w:p>
        </w:tc>
        <w:tc>
          <w:tcPr>
            <w:tcW w:type="dxa" w:w="33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Always allowed read; write of waive needs Compliance</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WaiveBreach</w:t>
            </w:r>
          </w:p>
        </w:tc>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Exception + expiry + approver</w:t>
            </w:r>
          </w:p>
        </w:tc>
        <w:tc>
          <w:tcPr>
            <w:tcW w:type="dxa" w:w="3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Four-eyes + mandate owner</w:t>
            </w:r>
          </w:p>
        </w:tc>
      </w:tr>
      <w:tr>
        <w:tc>
          <w:tcPr>
            <w:tcW w:type="dxa" w:w="2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RunRisk</w:t>
            </w:r>
          </w:p>
        </w:tc>
        <w:tc>
          <w:tcPr>
            <w:tcW w:type="dxa" w:w="3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Creates RiskRun + factor exposures</w:t>
            </w:r>
          </w:p>
        </w:tc>
        <w:tc>
          <w:tcPr>
            <w:tcW w:type="dxa" w:w="33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Model version pinned</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ApplyScenario</w:t>
            </w:r>
          </w:p>
        </w:tc>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Attaches StressResult to RiskRun</w:t>
            </w:r>
          </w:p>
        </w:tc>
        <w:tc>
          <w:tcPr>
            <w:tcW w:type="dxa" w:w="3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Scenario catalog only</w:t>
            </w:r>
          </w:p>
        </w:tc>
      </w:tr>
      <w:tr>
        <w:tc>
          <w:tcPr>
            <w:tcW w:type="dxa" w:w="2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PostTransaction</w:t>
            </w:r>
          </w:p>
        </w:tc>
        <w:tc>
          <w:tcPr>
            <w:tcW w:type="dxa" w:w="3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IBOR transaction + position delta</w:t>
            </w:r>
          </w:p>
        </w:tc>
        <w:tc>
          <w:tcPr>
            <w:tcW w:type="dxa" w:w="33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Idempotent on sourceId</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PostCorporateAction</w:t>
            </w:r>
          </w:p>
        </w:tc>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Holdings and cash adjustments</w:t>
            </w:r>
          </w:p>
        </w:tc>
        <w:tc>
          <w:tcPr>
            <w:tcW w:type="dxa" w:w="3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Event master must be final</w:t>
            </w:r>
          </w:p>
        </w:tc>
      </w:tr>
      <w:tr>
        <w:tc>
          <w:tcPr>
            <w:tcW w:type="dxa" w:w="2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RecordCapitalCall</w:t>
            </w:r>
          </w:p>
        </w:tc>
        <w:tc>
          <w:tcPr>
            <w:tcW w:type="dxa" w:w="3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Commitment funded +, cash −</w:t>
            </w:r>
          </w:p>
        </w:tc>
        <w:tc>
          <w:tcPr>
            <w:tcW w:type="dxa" w:w="33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Call notice artifact required</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LockOfficialPeriod</w:t>
            </w:r>
          </w:p>
        </w:tc>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Freezes ReturnSeries + NAV</w:t>
            </w:r>
          </w:p>
        </w:tc>
        <w:tc>
          <w:tcPr>
            <w:tcW w:type="dxa" w:w="3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Accounting calendar + dual control</w:t>
            </w:r>
          </w:p>
        </w:tc>
      </w:tr>
      <w:tr>
        <w:tc>
          <w:tcPr>
            <w:tcW w:type="dxa" w:w="24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CreateReport</w:t>
            </w:r>
          </w:p>
        </w:tc>
        <w:tc>
          <w:tcPr>
            <w:tcW w:type="dxa" w:w="3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Materializes Report job</w:t>
            </w:r>
          </w:p>
        </w:tc>
        <w:tc>
          <w:tcPr>
            <w:tcW w:type="dxa" w:w="33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Measure allow-list + entitlements</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SetPreference</w:t>
            </w:r>
          </w:p>
        </w:tc>
        <w:tc>
          <w:tcPr>
            <w:tcW w:type="dxa" w:w="3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Tenant or user config</w:t>
            </w:r>
          </w:p>
        </w:tc>
        <w:tc>
          <w:tcPr>
            <w:tcW w:type="dxa" w:w="33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No market-data side effects</w:t>
            </w:r>
          </w:p>
        </w:tc>
      </w:tr>
    </w:tbl>
    <w:p>
      <w:pPr>
        <w:pStyle w:val="Heading2"/>
        <w:spacing w:after="120" w:before="280"/>
      </w:pPr>
      <w:r>
        <w:rPr>
          <w:rFonts w:ascii="Calibri" w:cs="Calibri" w:eastAsia="Calibri" w:hAnsi="Calibri"/>
          <w:b/>
          <w:bCs/>
          <w:color w:val="0E6B6B"/>
          <w:sz w:val="26"/>
          <w:szCs w:val="26"/>
        </w:rPr>
        <w:t xml:space="preserve">6.4 From relational books to OWL</w:t>
      </w:r>
    </w:p>
    <w:p>
      <w:pPr>
        <w:spacing w:after="120" w:before="0" w:line="276"/>
      </w:pPr>
      <w:r>
        <w:rPr>
          <w:rFonts w:ascii="Calibri" w:cs="Calibri" w:eastAsia="Calibri" w:hAnsi="Calibri"/>
          <w:b w:val="false"/>
          <w:bCs w:val="false"/>
          <w:i w:val="false"/>
          <w:iCs w:val="false"/>
          <w:color w:val="334155"/>
          <w:sz w:val="22"/>
          <w:szCs w:val="22"/>
        </w:rPr>
        <w:t xml:space="preserve">Existing custodian, accounting, and PMS tables are not the ontology. They are sources. Follow the RDB-to-OWL pattern already in the project library: tables become classes or link tables become object properties; keys become identifiers; constraints and triggers become SHACL shapes and Action preconditions. Do not generate a 1:1 table ontology. Lift to the Object Types above, then map columns as properties with provenance.</w:t>
      </w:r>
    </w:p>
    <w:p>
      <w:pPr>
        <w:pStyle w:val="Heading1"/>
        <w:pBdr>
          <w:bottom w:val="single" w:color="0E6B6B" w:sz="12" w:space="6"/>
        </w:pBdr>
        <w:spacing w:after="160" w:before="360"/>
      </w:pPr>
      <w:r>
        <w:rPr>
          <w:rFonts w:ascii="Calibri" w:cs="Calibri" w:eastAsia="Calibri" w:hAnsi="Calibri"/>
          <w:b/>
          <w:bCs/>
          <w:color w:val="0B1F3A"/>
          <w:sz w:val="32"/>
          <w:szCs w:val="32"/>
        </w:rPr>
        <w:t xml:space="preserve">7. Module specifications</w:t>
      </w:r>
    </w:p>
    <w:p>
      <w:pPr>
        <w:pStyle w:val="Heading2"/>
        <w:spacing w:after="120" w:before="280"/>
      </w:pPr>
      <w:r>
        <w:rPr>
          <w:rFonts w:ascii="Calibri" w:cs="Calibri" w:eastAsia="Calibri" w:hAnsi="Calibri"/>
          <w:b/>
          <w:bCs/>
          <w:color w:val="0E6B6B"/>
          <w:sz w:val="26"/>
          <w:szCs w:val="26"/>
        </w:rPr>
        <w:t xml:space="preserve">7.1 Mesta Book — IBOR</w:t>
      </w:r>
    </w:p>
    <w:p>
      <w:pPr>
        <w:spacing w:after="120" w:before="0" w:line="276"/>
      </w:pPr>
      <w:r>
        <w:rPr>
          <w:rFonts w:ascii="Calibri" w:cs="Calibri" w:eastAsia="Calibri" w:hAnsi="Calibri"/>
          <w:b w:val="false"/>
          <w:bCs w:val="false"/>
          <w:i w:val="false"/>
          <w:iCs w:val="false"/>
          <w:color w:val="334155"/>
          <w:sz w:val="22"/>
          <w:szCs w:val="22"/>
        </w:rPr>
        <w:t xml:space="preserve">The IBOR is the product. It must answer, at any as-of, for any portfolio in the tenant: what do we own, what is pending, what is pledged, what cash hits when, and what is the look-through. Transaction posting is idempotent on (sourceSystem, sourceId). Positions are derived, not dual-maintained by hand. Pending trades sit on the book the moment an Execution is booked, not the next morning.</w:t>
      </w:r>
    </w:p>
    <w:p>
      <w:pPr>
        <w:pStyle w:val="ListParagraph"/>
        <w:numPr>
          <w:ilvl w:val="0"/>
          <w:numId w:val="2"/>
        </w:numPr>
        <w:spacing w:after="60" w:line="260"/>
      </w:pPr>
      <w:r>
        <w:rPr>
          <w:rFonts w:ascii="Calibri" w:cs="Calibri" w:eastAsia="Calibri" w:hAnsi="Calibri"/>
          <w:color w:val="334155"/>
          <w:sz w:val="21"/>
          <w:szCs w:val="21"/>
        </w:rPr>
        <w:t xml:space="preserve">Instrument master with multi-scheme identifiers and lineage.</w:t>
      </w:r>
    </w:p>
    <w:p>
      <w:pPr>
        <w:pStyle w:val="ListParagraph"/>
        <w:numPr>
          <w:ilvl w:val="0"/>
          <w:numId w:val="2"/>
        </w:numPr>
        <w:spacing w:after="60" w:line="260"/>
      </w:pPr>
      <w:r>
        <w:rPr>
          <w:rFonts w:ascii="Calibri" w:cs="Calibri" w:eastAsia="Calibri" w:hAnsi="Calibri"/>
          <w:color w:val="334155"/>
          <w:sz w:val="21"/>
          <w:szCs w:val="21"/>
        </w:rPr>
        <w:t xml:space="preserve">Intraday and official valuation sources, ranked per asset class.</w:t>
      </w:r>
    </w:p>
    <w:p>
      <w:pPr>
        <w:pStyle w:val="ListParagraph"/>
        <w:numPr>
          <w:ilvl w:val="0"/>
          <w:numId w:val="2"/>
        </w:numPr>
        <w:spacing w:after="60" w:line="260"/>
      </w:pPr>
      <w:r>
        <w:rPr>
          <w:rFonts w:ascii="Calibri" w:cs="Calibri" w:eastAsia="Calibri" w:hAnsi="Calibri"/>
          <w:color w:val="334155"/>
          <w:sz w:val="21"/>
          <w:szCs w:val="21"/>
        </w:rPr>
        <w:t xml:space="preserve">Cash ladder: contractual, projected, discretionary.</w:t>
      </w:r>
    </w:p>
    <w:p>
      <w:pPr>
        <w:pStyle w:val="ListParagraph"/>
        <w:numPr>
          <w:ilvl w:val="0"/>
          <w:numId w:val="2"/>
        </w:numPr>
        <w:spacing w:after="60" w:line="260"/>
      </w:pPr>
      <w:r>
        <w:rPr>
          <w:rFonts w:ascii="Calibri" w:cs="Calibri" w:eastAsia="Calibri" w:hAnsi="Calibri"/>
          <w:color w:val="334155"/>
          <w:sz w:val="21"/>
          <w:szCs w:val="21"/>
        </w:rPr>
        <w:t xml:space="preserve">Collateral, securities lending, and availability.</w:t>
      </w:r>
    </w:p>
    <w:p>
      <w:pPr>
        <w:pStyle w:val="ListParagraph"/>
        <w:numPr>
          <w:ilvl w:val="0"/>
          <w:numId w:val="2"/>
        </w:numPr>
        <w:spacing w:after="60" w:line="260"/>
      </w:pPr>
      <w:r>
        <w:rPr>
          <w:rFonts w:ascii="Calibri" w:cs="Calibri" w:eastAsia="Calibri" w:hAnsi="Calibri"/>
          <w:color w:val="334155"/>
          <w:sz w:val="21"/>
          <w:szCs w:val="21"/>
        </w:rPr>
        <w:t xml:space="preserve">Corporate actions from announcement through election and pay.</w:t>
      </w:r>
    </w:p>
    <w:p>
      <w:pPr>
        <w:pStyle w:val="ListParagraph"/>
        <w:numPr>
          <w:ilvl w:val="0"/>
          <w:numId w:val="2"/>
        </w:numPr>
        <w:spacing w:after="60" w:line="260"/>
      </w:pPr>
      <w:r>
        <w:rPr>
          <w:rFonts w:ascii="Calibri" w:cs="Calibri" w:eastAsia="Calibri" w:hAnsi="Calibri"/>
          <w:color w:val="334155"/>
          <w:sz w:val="21"/>
          <w:szCs w:val="21"/>
        </w:rPr>
        <w:t xml:space="preserve">Reconciliation objects against custodian and administrator, exception-first.</w:t>
      </w:r>
    </w:p>
    <w:p>
      <w:pPr>
        <w:pStyle w:val="Heading2"/>
        <w:spacing w:after="120" w:before="280"/>
      </w:pPr>
      <w:r>
        <w:rPr>
          <w:rFonts w:ascii="Calibri" w:cs="Calibri" w:eastAsia="Calibri" w:hAnsi="Calibri"/>
          <w:b/>
          <w:bCs/>
          <w:color w:val="0E6B6B"/>
          <w:sz w:val="26"/>
          <w:szCs w:val="26"/>
        </w:rPr>
        <w:t xml:space="preserve">7.2 Mesta Risk</w:t>
      </w:r>
    </w:p>
    <w:p>
      <w:pPr>
        <w:spacing w:after="120" w:before="0" w:line="276"/>
      </w:pPr>
      <w:r>
        <w:rPr>
          <w:rFonts w:ascii="Calibri" w:cs="Calibri" w:eastAsia="Calibri" w:hAnsi="Calibri"/>
          <w:b w:val="false"/>
          <w:bCs w:val="false"/>
          <w:i w:val="false"/>
          <w:iCs w:val="false"/>
          <w:color w:val="334155"/>
          <w:sz w:val="22"/>
          <w:szCs w:val="22"/>
        </w:rPr>
        <w:t xml:space="preserve">Standalone or platform-attached, matching Aladdin Risk’s commercial split. One analytics engine, quality-controlled data, scalable grid.</w:t>
      </w:r>
    </w:p>
    <w:p>
      <w:pPr>
        <w:pStyle w:val="ListParagraph"/>
        <w:numPr>
          <w:ilvl w:val="0"/>
          <w:numId w:val="2"/>
        </w:numPr>
        <w:spacing w:after="60" w:line="260"/>
      </w:pPr>
      <w:r>
        <w:rPr>
          <w:rFonts w:ascii="Calibri" w:cs="Calibri" w:eastAsia="Calibri" w:hAnsi="Calibri"/>
          <w:color w:val="334155"/>
          <w:sz w:val="21"/>
          <w:szCs w:val="21"/>
        </w:rPr>
        <w:t xml:space="preserve">Factor model catalog by asset class plus a cross-asset aggregation layer.</w:t>
      </w:r>
    </w:p>
    <w:p>
      <w:pPr>
        <w:pStyle w:val="ListParagraph"/>
        <w:numPr>
          <w:ilvl w:val="0"/>
          <w:numId w:val="2"/>
        </w:numPr>
        <w:spacing w:after="60" w:line="260"/>
      </w:pPr>
      <w:r>
        <w:rPr>
          <w:rFonts w:ascii="Calibri" w:cs="Calibri" w:eastAsia="Calibri" w:hAnsi="Calibri"/>
          <w:color w:val="334155"/>
          <w:sz w:val="21"/>
          <w:szCs w:val="21"/>
        </w:rPr>
        <w:t xml:space="preserve">VaR, CVaR, tracking error, standalone and marginal contribution.</w:t>
      </w:r>
    </w:p>
    <w:p>
      <w:pPr>
        <w:pStyle w:val="ListParagraph"/>
        <w:numPr>
          <w:ilvl w:val="0"/>
          <w:numId w:val="2"/>
        </w:numPr>
        <w:spacing w:after="60" w:line="260"/>
      </w:pPr>
      <w:r>
        <w:rPr>
          <w:rFonts w:ascii="Calibri" w:cs="Calibri" w:eastAsia="Calibri" w:hAnsi="Calibri"/>
          <w:color w:val="334155"/>
          <w:sz w:val="21"/>
          <w:szCs w:val="21"/>
        </w:rPr>
        <w:t xml:space="preserve">Exposures: country, sector, rating, duration, key rate, currency, factor.</w:t>
      </w:r>
    </w:p>
    <w:p>
      <w:pPr>
        <w:pStyle w:val="ListParagraph"/>
        <w:numPr>
          <w:ilvl w:val="0"/>
          <w:numId w:val="2"/>
        </w:numPr>
        <w:spacing w:after="60" w:line="260"/>
      </w:pPr>
      <w:r>
        <w:rPr>
          <w:rFonts w:ascii="Calibri" w:cs="Calibri" w:eastAsia="Calibri" w:hAnsi="Calibri"/>
          <w:color w:val="334155"/>
          <w:sz w:val="21"/>
          <w:szCs w:val="21"/>
        </w:rPr>
        <w:t xml:space="preserve">Scenario library: historical crises, rate/credit/FX/liquidity shocks, user-defined.</w:t>
      </w:r>
    </w:p>
    <w:p>
      <w:pPr>
        <w:pStyle w:val="ListParagraph"/>
        <w:numPr>
          <w:ilvl w:val="0"/>
          <w:numId w:val="2"/>
        </w:numPr>
        <w:spacing w:after="60" w:line="260"/>
      </w:pPr>
      <w:r>
        <w:rPr>
          <w:rFonts w:ascii="Calibri" w:cs="Calibri" w:eastAsia="Calibri" w:hAnsi="Calibri"/>
          <w:color w:val="334155"/>
          <w:sz w:val="21"/>
          <w:szCs w:val="21"/>
        </w:rPr>
        <w:t xml:space="preserve">What-if: proposed Orders and Rebalances priced through the same model before they hit the blotter.</w:t>
      </w:r>
    </w:p>
    <w:p>
      <w:pPr>
        <w:pStyle w:val="ListParagraph"/>
        <w:numPr>
          <w:ilvl w:val="0"/>
          <w:numId w:val="2"/>
        </w:numPr>
        <w:spacing w:after="60" w:line="260"/>
      </w:pPr>
      <w:r>
        <w:rPr>
          <w:rFonts w:ascii="Calibri" w:cs="Calibri" w:eastAsia="Calibri" w:hAnsi="Calibri"/>
          <w:color w:val="334155"/>
          <w:sz w:val="21"/>
          <w:szCs w:val="21"/>
        </w:rPr>
        <w:t xml:space="preserve">Optimization and risk-budgeting as Actions that emit candidate holdings, not black-box files.</w:t>
      </w:r>
    </w:p>
    <w:p>
      <w:pPr>
        <w:spacing w:after="120" w:before="0" w:line="276"/>
      </w:pPr>
      <w:r>
        <w:rPr>
          <w:rFonts w:ascii="Calibri" w:cs="Calibri" w:eastAsia="Calibri" w:hAnsi="Calibri"/>
          <w:b w:val="false"/>
          <w:bCs w:val="false"/>
          <w:i w:val="false"/>
          <w:iCs w:val="false"/>
          <w:color w:val="334155"/>
          <w:sz w:val="22"/>
          <w:szCs w:val="22"/>
        </w:rPr>
        <w:t xml:space="preserve">MESTA does not claim BlackRock’s proprietary factor library. v0.1 ships a documented open factor set plus a plug-in interface for a tenant’s own model. The object contract (RiskRun, FactorExposure) stays stable if the engine is swapped.</w:t>
      </w:r>
    </w:p>
    <w:p>
      <w:pPr>
        <w:pStyle w:val="Heading2"/>
        <w:spacing w:after="120" w:before="280"/>
      </w:pPr>
      <w:r>
        <w:rPr>
          <w:rFonts w:ascii="Calibri" w:cs="Calibri" w:eastAsia="Calibri" w:hAnsi="Calibri"/>
          <w:b/>
          <w:bCs/>
          <w:color w:val="0E6B6B"/>
          <w:sz w:val="26"/>
          <w:szCs w:val="26"/>
        </w:rPr>
        <w:t xml:space="preserve">7.3 Mesta Portfolio</w:t>
      </w:r>
    </w:p>
    <w:p>
      <w:pPr>
        <w:pStyle w:val="ListParagraph"/>
        <w:numPr>
          <w:ilvl w:val="0"/>
          <w:numId w:val="2"/>
        </w:numPr>
        <w:spacing w:after="60" w:line="260"/>
      </w:pPr>
      <w:r>
        <w:rPr>
          <w:rFonts w:ascii="Calibri" w:cs="Calibri" w:eastAsia="Calibri" w:hAnsi="Calibri"/>
          <w:color w:val="334155"/>
          <w:sz w:val="21"/>
          <w:szCs w:val="21"/>
        </w:rPr>
        <w:t xml:space="preserve">Construction on the live IBOR, not a warehouse snapshot from last night.</w:t>
      </w:r>
    </w:p>
    <w:p>
      <w:pPr>
        <w:pStyle w:val="ListParagraph"/>
        <w:numPr>
          <w:ilvl w:val="0"/>
          <w:numId w:val="2"/>
        </w:numPr>
        <w:spacing w:after="60" w:line="260"/>
      </w:pPr>
      <w:r>
        <w:rPr>
          <w:rFonts w:ascii="Calibri" w:cs="Calibri" w:eastAsia="Calibri" w:hAnsi="Calibri"/>
          <w:color w:val="334155"/>
          <w:sz w:val="21"/>
          <w:szCs w:val="21"/>
        </w:rPr>
        <w:t xml:space="preserve">Model portfolios and sleeve inheritance for multi-entity groups.</w:t>
      </w:r>
    </w:p>
    <w:p>
      <w:pPr>
        <w:pStyle w:val="ListParagraph"/>
        <w:numPr>
          <w:ilvl w:val="0"/>
          <w:numId w:val="2"/>
        </w:numPr>
        <w:spacing w:after="60" w:line="260"/>
      </w:pPr>
      <w:r>
        <w:rPr>
          <w:rFonts w:ascii="Calibri" w:cs="Calibri" w:eastAsia="Calibri" w:hAnsi="Calibri"/>
          <w:color w:val="334155"/>
          <w:sz w:val="21"/>
          <w:szCs w:val="21"/>
        </w:rPr>
        <w:t xml:space="preserve">Cash management and overlay sleeves as Portfolios with hedges links.</w:t>
      </w:r>
    </w:p>
    <w:p>
      <w:pPr>
        <w:pStyle w:val="ListParagraph"/>
        <w:numPr>
          <w:ilvl w:val="0"/>
          <w:numId w:val="2"/>
        </w:numPr>
        <w:spacing w:after="60" w:line="260"/>
      </w:pPr>
      <w:r>
        <w:rPr>
          <w:rFonts w:ascii="Calibri" w:cs="Calibri" w:eastAsia="Calibri" w:hAnsi="Calibri"/>
          <w:color w:val="334155"/>
          <w:sz w:val="21"/>
          <w:szCs w:val="21"/>
        </w:rPr>
        <w:t xml:space="preserve">Look-through trees for pooled vehicles and funds of funds.</w:t>
      </w:r>
    </w:p>
    <w:p>
      <w:pPr>
        <w:pStyle w:val="ListParagraph"/>
        <w:numPr>
          <w:ilvl w:val="0"/>
          <w:numId w:val="2"/>
        </w:numPr>
        <w:spacing w:after="60" w:line="260"/>
      </w:pPr>
      <w:r>
        <w:rPr>
          <w:rFonts w:ascii="Calibri" w:cs="Calibri" w:eastAsia="Calibri" w:hAnsi="Calibri"/>
          <w:color w:val="334155"/>
          <w:sz w:val="21"/>
          <w:szCs w:val="21"/>
        </w:rPr>
        <w:t xml:space="preserve">Rebalance Action with turnover, tax, and guideline constraints.</w:t>
      </w:r>
    </w:p>
    <w:p>
      <w:pPr>
        <w:pStyle w:val="Heading2"/>
        <w:spacing w:after="120" w:before="280"/>
      </w:pPr>
      <w:r>
        <w:rPr>
          <w:rFonts w:ascii="Calibri" w:cs="Calibri" w:eastAsia="Calibri" w:hAnsi="Calibri"/>
          <w:b/>
          <w:bCs/>
          <w:color w:val="0E6B6B"/>
          <w:sz w:val="26"/>
          <w:szCs w:val="26"/>
        </w:rPr>
        <w:t xml:space="preserve">7.4 Mesta Trade</w:t>
      </w:r>
    </w:p>
    <w:p>
      <w:pPr>
        <w:pStyle w:val="ListParagraph"/>
        <w:numPr>
          <w:ilvl w:val="0"/>
          <w:numId w:val="2"/>
        </w:numPr>
        <w:spacing w:after="60" w:line="260"/>
      </w:pPr>
      <w:r>
        <w:rPr>
          <w:rFonts w:ascii="Calibri" w:cs="Calibri" w:eastAsia="Calibri" w:hAnsi="Calibri"/>
          <w:color w:val="334155"/>
          <w:sz w:val="21"/>
          <w:szCs w:val="21"/>
        </w:rPr>
        <w:t xml:space="preserve">Order → Allocation → Execution lifecycle with full audit.</w:t>
      </w:r>
    </w:p>
    <w:p>
      <w:pPr>
        <w:pStyle w:val="ListParagraph"/>
        <w:numPr>
          <w:ilvl w:val="0"/>
          <w:numId w:val="2"/>
        </w:numPr>
        <w:spacing w:after="60" w:line="260"/>
      </w:pPr>
      <w:r>
        <w:rPr>
          <w:rFonts w:ascii="Calibri" w:cs="Calibri" w:eastAsia="Calibri" w:hAnsi="Calibri"/>
          <w:color w:val="334155"/>
          <w:sz w:val="21"/>
          <w:szCs w:val="21"/>
        </w:rPr>
        <w:t xml:space="preserve">Pre-trade compliance is synchronous inside CreateOrder.</w:t>
      </w:r>
    </w:p>
    <w:p>
      <w:pPr>
        <w:pStyle w:val="ListParagraph"/>
        <w:numPr>
          <w:ilvl w:val="0"/>
          <w:numId w:val="2"/>
        </w:numPr>
        <w:spacing w:after="60" w:line="260"/>
      </w:pPr>
      <w:r>
        <w:rPr>
          <w:rFonts w:ascii="Calibri" w:cs="Calibri" w:eastAsia="Calibri" w:hAnsi="Calibri"/>
          <w:color w:val="334155"/>
          <w:sz w:val="21"/>
          <w:szCs w:val="21"/>
        </w:rPr>
        <w:t xml:space="preserve">Broker and venue master; counterparty limits as Guidelines.</w:t>
      </w:r>
    </w:p>
    <w:p>
      <w:pPr>
        <w:pStyle w:val="ListParagraph"/>
        <w:numPr>
          <w:ilvl w:val="0"/>
          <w:numId w:val="2"/>
        </w:numPr>
        <w:spacing w:after="60" w:line="260"/>
      </w:pPr>
      <w:r>
        <w:rPr>
          <w:rFonts w:ascii="Calibri" w:cs="Calibri" w:eastAsia="Calibri" w:hAnsi="Calibri"/>
          <w:color w:val="334155"/>
          <w:sz w:val="21"/>
          <w:szCs w:val="21"/>
        </w:rPr>
        <w:t xml:space="preserve">EMS connectivity is adapter-based (FIX, vendor EMS). Core never embeds a single venue.</w:t>
      </w:r>
    </w:p>
    <w:p>
      <w:pPr>
        <w:pStyle w:val="ListParagraph"/>
        <w:numPr>
          <w:ilvl w:val="0"/>
          <w:numId w:val="2"/>
        </w:numPr>
        <w:spacing w:after="60" w:line="260"/>
      </w:pPr>
      <w:r>
        <w:rPr>
          <w:rFonts w:ascii="Calibri" w:cs="Calibri" w:eastAsia="Calibri" w:hAnsi="Calibri"/>
          <w:color w:val="334155"/>
          <w:sz w:val="21"/>
          <w:szCs w:val="21"/>
        </w:rPr>
        <w:t xml:space="preserve">Block trading and bulk allocator for multi-account houses.</w:t>
      </w:r>
    </w:p>
    <w:p>
      <w:pPr>
        <w:pStyle w:val="Heading2"/>
        <w:spacing w:after="120" w:before="280"/>
      </w:pPr>
      <w:r>
        <w:rPr>
          <w:rFonts w:ascii="Calibri" w:cs="Calibri" w:eastAsia="Calibri" w:hAnsi="Calibri"/>
          <w:b/>
          <w:bCs/>
          <w:color w:val="0E6B6B"/>
          <w:sz w:val="26"/>
          <w:szCs w:val="26"/>
        </w:rPr>
        <w:t xml:space="preserve">7.5 Mesta Guard — compliance</w:t>
      </w:r>
    </w:p>
    <w:p>
      <w:pPr>
        <w:pStyle w:val="ListParagraph"/>
        <w:numPr>
          <w:ilvl w:val="0"/>
          <w:numId w:val="2"/>
        </w:numPr>
        <w:spacing w:after="60" w:line="260"/>
      </w:pPr>
      <w:r>
        <w:rPr>
          <w:rFonts w:ascii="Calibri" w:cs="Calibri" w:eastAsia="Calibri" w:hAnsi="Calibri"/>
          <w:color w:val="334155"/>
          <w:sz w:val="21"/>
          <w:szCs w:val="21"/>
        </w:rPr>
        <w:t xml:space="preserve">Guideline workbench: concentration, banned list, rating floors, duration bands, tracking error, ESG screens, derivative coverage.</w:t>
      </w:r>
    </w:p>
    <w:p>
      <w:pPr>
        <w:pStyle w:val="ListParagraph"/>
        <w:numPr>
          <w:ilvl w:val="0"/>
          <w:numId w:val="2"/>
        </w:numPr>
        <w:spacing w:after="60" w:line="260"/>
      </w:pPr>
      <w:r>
        <w:rPr>
          <w:rFonts w:ascii="Calibri" w:cs="Calibri" w:eastAsia="Calibri" w:hAnsi="Calibri"/>
          <w:color w:val="334155"/>
          <w:sz w:val="21"/>
          <w:szCs w:val="21"/>
        </w:rPr>
        <w:t xml:space="preserve">Pre-trade on the proposed order; post-trade overnight and intraday scans.</w:t>
      </w:r>
    </w:p>
    <w:p>
      <w:pPr>
        <w:pStyle w:val="ListParagraph"/>
        <w:numPr>
          <w:ilvl w:val="0"/>
          <w:numId w:val="2"/>
        </w:numPr>
        <w:spacing w:after="60" w:line="260"/>
      </w:pPr>
      <w:r>
        <w:rPr>
          <w:rFonts w:ascii="Calibri" w:cs="Calibri" w:eastAsia="Calibri" w:hAnsi="Calibri"/>
          <w:color w:val="334155"/>
          <w:sz w:val="21"/>
          <w:szCs w:val="21"/>
        </w:rPr>
        <w:t xml:space="preserve">Breach object with owner, severity, waive/remediate path, expiry.</w:t>
      </w:r>
    </w:p>
    <w:p>
      <w:pPr>
        <w:pStyle w:val="ListParagraph"/>
        <w:numPr>
          <w:ilvl w:val="0"/>
          <w:numId w:val="2"/>
        </w:numPr>
        <w:spacing w:after="60" w:line="260"/>
      </w:pPr>
      <w:r>
        <w:rPr>
          <w:rFonts w:ascii="Calibri" w:cs="Calibri" w:eastAsia="Calibri" w:hAnsi="Calibri"/>
          <w:color w:val="334155"/>
          <w:sz w:val="21"/>
          <w:szCs w:val="21"/>
        </w:rPr>
        <w:t xml:space="preserve">Four-eyes on material waivers. Agents may draft; they may not waive.</w:t>
      </w:r>
    </w:p>
    <w:p>
      <w:pPr>
        <w:pStyle w:val="Heading2"/>
        <w:spacing w:after="120" w:before="280"/>
      </w:pPr>
      <w:r>
        <w:rPr>
          <w:rFonts w:ascii="Calibri" w:cs="Calibri" w:eastAsia="Calibri" w:hAnsi="Calibri"/>
          <w:b/>
          <w:bCs/>
          <w:color w:val="0E6B6B"/>
          <w:sz w:val="26"/>
          <w:szCs w:val="26"/>
        </w:rPr>
        <w:t xml:space="preserve">7.6 Mesta Ops</w:t>
      </w:r>
    </w:p>
    <w:p>
      <w:pPr>
        <w:pStyle w:val="ListParagraph"/>
        <w:numPr>
          <w:ilvl w:val="0"/>
          <w:numId w:val="2"/>
        </w:numPr>
        <w:spacing w:after="60" w:line="260"/>
      </w:pPr>
      <w:r>
        <w:rPr>
          <w:rFonts w:ascii="Calibri" w:cs="Calibri" w:eastAsia="Calibri" w:hAnsi="Calibri"/>
          <w:color w:val="334155"/>
          <w:sz w:val="21"/>
          <w:szCs w:val="21"/>
        </w:rPr>
        <w:t xml:space="preserve">Confirmation matching, settlement status, fail management.</w:t>
      </w:r>
    </w:p>
    <w:p>
      <w:pPr>
        <w:pStyle w:val="ListParagraph"/>
        <w:numPr>
          <w:ilvl w:val="0"/>
          <w:numId w:val="2"/>
        </w:numPr>
        <w:spacing w:after="60" w:line="260"/>
      </w:pPr>
      <w:r>
        <w:rPr>
          <w:rFonts w:ascii="Calibri" w:cs="Calibri" w:eastAsia="Calibri" w:hAnsi="Calibri"/>
          <w:color w:val="334155"/>
          <w:sz w:val="21"/>
          <w:szCs w:val="21"/>
        </w:rPr>
        <w:t xml:space="preserve">Derivatives operations: confirm, collateral, reset, terminate.</w:t>
      </w:r>
    </w:p>
    <w:p>
      <w:pPr>
        <w:pStyle w:val="ListParagraph"/>
        <w:numPr>
          <w:ilvl w:val="0"/>
          <w:numId w:val="2"/>
        </w:numPr>
        <w:spacing w:after="60" w:line="260"/>
      </w:pPr>
      <w:r>
        <w:rPr>
          <w:rFonts w:ascii="Calibri" w:cs="Calibri" w:eastAsia="Calibri" w:hAnsi="Calibri"/>
          <w:color w:val="334155"/>
          <w:sz w:val="21"/>
          <w:szCs w:val="21"/>
        </w:rPr>
        <w:t xml:space="preserve">Reconciliation as an object set, not an email.</w:t>
      </w:r>
    </w:p>
    <w:p>
      <w:pPr>
        <w:pStyle w:val="ListParagraph"/>
        <w:numPr>
          <w:ilvl w:val="0"/>
          <w:numId w:val="2"/>
        </w:numPr>
        <w:spacing w:after="60" w:line="260"/>
      </w:pPr>
      <w:r>
        <w:rPr>
          <w:rFonts w:ascii="Calibri" w:cs="Calibri" w:eastAsia="Calibri" w:hAnsi="Calibri"/>
          <w:color w:val="334155"/>
          <w:sz w:val="21"/>
          <w:szCs w:val="21"/>
        </w:rPr>
        <w:t xml:space="preserve">Shared-service mode: one Ops team can serve many LegalEntities without merging books.</w:t>
      </w:r>
    </w:p>
    <w:p>
      <w:pPr>
        <w:pStyle w:val="Heading2"/>
        <w:spacing w:after="120" w:before="280"/>
      </w:pPr>
      <w:r>
        <w:rPr>
          <w:rFonts w:ascii="Calibri" w:cs="Calibri" w:eastAsia="Calibri" w:hAnsi="Calibri"/>
          <w:b/>
          <w:bCs/>
          <w:color w:val="0E6B6B"/>
          <w:sz w:val="26"/>
          <w:szCs w:val="26"/>
        </w:rPr>
        <w:t xml:space="preserve">7.7 Mesta Return and Mesta Ledger</w:t>
      </w:r>
    </w:p>
    <w:p>
      <w:pPr>
        <w:pStyle w:val="ListParagraph"/>
        <w:numPr>
          <w:ilvl w:val="0"/>
          <w:numId w:val="2"/>
        </w:numPr>
        <w:spacing w:after="60" w:line="260"/>
      </w:pPr>
      <w:r>
        <w:rPr>
          <w:rFonts w:ascii="Calibri" w:cs="Calibri" w:eastAsia="Calibri" w:hAnsi="Calibri"/>
          <w:color w:val="334155"/>
          <w:sz w:val="21"/>
          <w:szCs w:val="21"/>
        </w:rPr>
        <w:t xml:space="preserve">Holdings-based performance and Brinson / factor attribution.</w:t>
      </w:r>
    </w:p>
    <w:p>
      <w:pPr>
        <w:pStyle w:val="ListParagraph"/>
        <w:numPr>
          <w:ilvl w:val="0"/>
          <w:numId w:val="2"/>
        </w:numPr>
        <w:spacing w:after="60" w:line="260"/>
      </w:pPr>
      <w:r>
        <w:rPr>
          <w:rFonts w:ascii="Calibri" w:cs="Calibri" w:eastAsia="Calibri" w:hAnsi="Calibri"/>
          <w:color w:val="334155"/>
          <w:sz w:val="21"/>
          <w:szCs w:val="21"/>
        </w:rPr>
        <w:t xml:space="preserve">Official locked periods for SMAs and funds.</w:t>
      </w:r>
    </w:p>
    <w:p>
      <w:pPr>
        <w:pStyle w:val="ListParagraph"/>
        <w:numPr>
          <w:ilvl w:val="0"/>
          <w:numId w:val="2"/>
        </w:numPr>
        <w:spacing w:after="60" w:line="260"/>
      </w:pPr>
      <w:r>
        <w:rPr>
          <w:rFonts w:ascii="Calibri" w:cs="Calibri" w:eastAsia="Calibri" w:hAnsi="Calibri"/>
          <w:color w:val="334155"/>
          <w:sz w:val="21"/>
          <w:szCs w:val="21"/>
        </w:rPr>
        <w:t xml:space="preserve">NAV oversight against fund administrator.</w:t>
      </w:r>
    </w:p>
    <w:p>
      <w:pPr>
        <w:pStyle w:val="ListParagraph"/>
        <w:numPr>
          <w:ilvl w:val="0"/>
          <w:numId w:val="2"/>
        </w:numPr>
        <w:spacing w:after="60" w:line="260"/>
      </w:pPr>
      <w:r>
        <w:rPr>
          <w:rFonts w:ascii="Calibri" w:cs="Calibri" w:eastAsia="Calibri" w:hAnsi="Calibri"/>
          <w:color w:val="334155"/>
          <w:sz w:val="21"/>
          <w:szCs w:val="21"/>
        </w:rPr>
        <w:t xml:space="preserve">Composite membership for GIPS-style reporting.</w:t>
      </w:r>
    </w:p>
    <w:p>
      <w:pPr>
        <w:pStyle w:val="ListParagraph"/>
        <w:numPr>
          <w:ilvl w:val="0"/>
          <w:numId w:val="2"/>
        </w:numPr>
        <w:spacing w:after="60" w:line="260"/>
      </w:pPr>
      <w:r>
        <w:rPr>
          <w:rFonts w:ascii="Calibri" w:cs="Calibri" w:eastAsia="Calibri" w:hAnsi="Calibri"/>
          <w:color w:val="334155"/>
          <w:sz w:val="21"/>
          <w:szCs w:val="21"/>
        </w:rPr>
        <w:t xml:space="preserve">ABOR integration: either post journals out, or ingest official books in and reconcile.</w:t>
      </w:r>
    </w:p>
    <w:p>
      <w:pPr>
        <w:pStyle w:val="Heading2"/>
        <w:spacing w:after="120" w:before="280"/>
      </w:pPr>
      <w:r>
        <w:rPr>
          <w:rFonts w:ascii="Calibri" w:cs="Calibri" w:eastAsia="Calibri" w:hAnsi="Calibri"/>
          <w:b/>
          <w:bCs/>
          <w:color w:val="0E6B6B"/>
          <w:sz w:val="26"/>
          <w:szCs w:val="26"/>
        </w:rPr>
        <w:t xml:space="preserve">7.8 Mesta Private and Mesta Whole</w:t>
      </w:r>
    </w:p>
    <w:p>
      <w:pPr>
        <w:pStyle w:val="ListParagraph"/>
        <w:numPr>
          <w:ilvl w:val="0"/>
          <w:numId w:val="2"/>
        </w:numPr>
        <w:spacing w:after="60" w:line="260"/>
      </w:pPr>
      <w:r>
        <w:rPr>
          <w:rFonts w:ascii="Calibri" w:cs="Calibri" w:eastAsia="Calibri" w:hAnsi="Calibri"/>
          <w:color w:val="334155"/>
          <w:sz w:val="21"/>
          <w:szCs w:val="21"/>
        </w:rPr>
        <w:t xml:space="preserve">Commitment, unfunded, call, distribution, NAV, IRR/TVPI/DPI as properties on FundVehicle and Commitment.</w:t>
      </w:r>
    </w:p>
    <w:p>
      <w:pPr>
        <w:pStyle w:val="ListParagraph"/>
        <w:numPr>
          <w:ilvl w:val="0"/>
          <w:numId w:val="2"/>
        </w:numPr>
        <w:spacing w:after="60" w:line="260"/>
      </w:pPr>
      <w:r>
        <w:rPr>
          <w:rFonts w:ascii="Calibri" w:cs="Calibri" w:eastAsia="Calibri" w:hAnsi="Calibri"/>
          <w:color w:val="334155"/>
          <w:sz w:val="21"/>
          <w:szCs w:val="21"/>
        </w:rPr>
        <w:t xml:space="preserve">Pacing plans as objects linked to cash ladders.</w:t>
      </w:r>
    </w:p>
    <w:p>
      <w:pPr>
        <w:pStyle w:val="ListParagraph"/>
        <w:numPr>
          <w:ilvl w:val="0"/>
          <w:numId w:val="2"/>
        </w:numPr>
        <w:spacing w:after="60" w:line="260"/>
      </w:pPr>
      <w:r>
        <w:rPr>
          <w:rFonts w:ascii="Calibri" w:cs="Calibri" w:eastAsia="Calibri" w:hAnsi="Calibri"/>
          <w:color w:val="334155"/>
          <w:sz w:val="21"/>
          <w:szCs w:val="21"/>
        </w:rPr>
        <w:t xml:space="preserve">Liabilities and ALM gaps for pensions and insurers.</w:t>
      </w:r>
    </w:p>
    <w:p>
      <w:pPr>
        <w:pStyle w:val="ListParagraph"/>
        <w:numPr>
          <w:ilvl w:val="0"/>
          <w:numId w:val="2"/>
        </w:numPr>
        <w:spacing w:after="60" w:line="260"/>
      </w:pPr>
      <w:r>
        <w:rPr>
          <w:rFonts w:ascii="Calibri" w:cs="Calibri" w:eastAsia="Calibri" w:hAnsi="Calibri"/>
          <w:color w:val="334155"/>
          <w:sz w:val="21"/>
          <w:szCs w:val="21"/>
        </w:rPr>
        <w:t xml:space="preserve">Whole-portfolio risk = public holdings + look-through + private NAV + liability shock on one RiskRun.</w:t>
      </w:r>
    </w:p>
    <w:p>
      <w:pPr>
        <w:pStyle w:val="Heading1"/>
        <w:pBdr>
          <w:bottom w:val="single" w:color="0E6B6B" w:sz="12" w:space="6"/>
        </w:pBdr>
        <w:spacing w:after="160" w:before="360"/>
      </w:pPr>
      <w:r>
        <w:rPr>
          <w:rFonts w:ascii="Calibri" w:cs="Calibri" w:eastAsia="Calibri" w:hAnsi="Calibri"/>
          <w:b/>
          <w:bCs/>
          <w:color w:val="0B1F3A"/>
          <w:sz w:val="32"/>
          <w:szCs w:val="32"/>
        </w:rPr>
        <w:t xml:space="preserve">8. Developer surface — Mesta Marquee API</w:t>
      </w:r>
    </w:p>
    <w:p>
      <w:pPr>
        <w:spacing w:after="120" w:before="0" w:line="276"/>
      </w:pPr>
      <w:r>
        <w:rPr>
          <w:rFonts w:ascii="Calibri" w:cs="Calibri" w:eastAsia="Calibri" w:hAnsi="Calibri"/>
          <w:b w:val="false"/>
          <w:bCs w:val="false"/>
          <w:i w:val="false"/>
          <w:iCs w:val="false"/>
          <w:color w:val="334155"/>
          <w:sz w:val="22"/>
          <w:szCs w:val="22"/>
        </w:rPr>
        <w:t xml:space="preserve">Goldman’s Marquee docs in the project library show the right developer grain: Asset, Dataset, Report, entitlements, measures. MESTA-ASSET exposes the ontology the same way. Human UIs and external systems use one HTTP contract.</w:t>
      </w:r>
    </w:p>
    <w:p>
      <w:pPr>
        <w:pStyle w:val="Heading2"/>
        <w:spacing w:after="120" w:before="280"/>
      </w:pPr>
      <w:r>
        <w:rPr>
          <w:rFonts w:ascii="Calibri" w:cs="Calibri" w:eastAsia="Calibri" w:hAnsi="Calibri"/>
          <w:b/>
          <w:bCs/>
          <w:color w:val="0E6B6B"/>
          <w:sz w:val="26"/>
          <w:szCs w:val="26"/>
        </w:rPr>
        <w:t xml:space="preserve">8.1 Resource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Resource</w:t>
            </w:r>
          </w:p>
        </w:tc>
        <w:tc>
          <w:tcPr>
            <w:tcW w:type="dxa" w:w="16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Method</w:t>
            </w:r>
          </w:p>
        </w:tc>
        <w:tc>
          <w:tcPr>
            <w:tcW w:type="dxa" w:w="45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Purpose</w:t>
            </w:r>
          </w:p>
        </w:tc>
      </w:tr>
      <w:tr>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/v1/assets/{id}</w:t>
            </w:r>
          </w:p>
        </w:tc>
        <w:tc>
          <w:tcPr>
            <w:tcW w:type="dxa" w:w="1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GET</w:t>
            </w:r>
          </w:p>
        </w:tc>
        <w:tc>
          <w:tcPr>
            <w:tcW w:type="dxa" w:w="4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Instrument + identifiers + entitlements + description</w:t>
            </w:r>
          </w:p>
        </w:tc>
      </w:tr>
      <w:tr>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/v1/assets</w:t>
            </w:r>
          </w:p>
        </w:tc>
        <w:tc>
          <w:tcPr>
            <w:tcW w:type="dxa" w:w="1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GET/POST</w:t>
            </w:r>
          </w:p>
        </w:tc>
        <w:tc>
          <w:tcPr>
            <w:tcW w:type="dxa" w:w="4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Search / create instrument master records</w:t>
            </w:r>
          </w:p>
        </w:tc>
      </w:tr>
      <w:tr>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/v1/assets/{id}/positions</w:t>
            </w:r>
          </w:p>
        </w:tc>
        <w:tc>
          <w:tcPr>
            <w:tcW w:type="dxa" w:w="1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GET</w:t>
            </w:r>
          </w:p>
        </w:tc>
        <w:tc>
          <w:tcPr>
            <w:tcW w:type="dxa" w:w="4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IBOR holdings for that asset across portfolios</w:t>
            </w:r>
          </w:p>
        </w:tc>
      </w:tr>
      <w:tr>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/v1/assets/{id}/risk-models</w:t>
            </w:r>
          </w:p>
        </w:tc>
        <w:tc>
          <w:tcPr>
            <w:tcW w:type="dxa" w:w="1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GET</w:t>
            </w:r>
          </w:p>
        </w:tc>
        <w:tc>
          <w:tcPr>
            <w:tcW w:type="dxa" w:w="4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Models that cover the asset</w:t>
            </w:r>
          </w:p>
        </w:tc>
      </w:tr>
      <w:tr>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/v1/portfolios/{id}</w:t>
            </w:r>
          </w:p>
        </w:tc>
        <w:tc>
          <w:tcPr>
            <w:tcW w:type="dxa" w:w="1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GET</w:t>
            </w:r>
          </w:p>
        </w:tc>
        <w:tc>
          <w:tcPr>
            <w:tcW w:type="dxa" w:w="4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object + parent/child links</w:t>
            </w:r>
          </w:p>
        </w:tc>
      </w:tr>
      <w:tr>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/v1/portfolios/{id}/holdings</w:t>
            </w:r>
          </w:p>
        </w:tc>
        <w:tc>
          <w:tcPr>
            <w:tcW w:type="dxa" w:w="1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GET</w:t>
            </w:r>
          </w:p>
        </w:tc>
        <w:tc>
          <w:tcPr>
            <w:tcW w:type="dxa" w:w="4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As-of holdings, optional look-through</w:t>
            </w:r>
          </w:p>
        </w:tc>
      </w:tr>
      <w:tr>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/v1/data</w:t>
            </w:r>
          </w:p>
        </w:tc>
        <w:tc>
          <w:tcPr>
            <w:tcW w:type="dxa" w:w="1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GET</w:t>
            </w:r>
          </w:p>
        </w:tc>
        <w:tc>
          <w:tcPr>
            <w:tcW w:type="dxa" w:w="4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Panel/time-series by dataSetId, assetId, measures</w:t>
            </w:r>
          </w:p>
        </w:tc>
      </w:tr>
      <w:tr>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/v1/risk-runs</w:t>
            </w:r>
          </w:p>
        </w:tc>
        <w:tc>
          <w:tcPr>
            <w:tcW w:type="dxa" w:w="1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POST/GET</w:t>
            </w:r>
          </w:p>
        </w:tc>
        <w:tc>
          <w:tcPr>
            <w:tcW w:type="dxa" w:w="4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RunRisk Action and retrieve results</w:t>
            </w:r>
          </w:p>
        </w:tc>
      </w:tr>
      <w:tr>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/v1/orders</w:t>
            </w:r>
          </w:p>
        </w:tc>
        <w:tc>
          <w:tcPr>
            <w:tcW w:type="dxa" w:w="1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POST/GET</w:t>
            </w:r>
          </w:p>
        </w:tc>
        <w:tc>
          <w:tcPr>
            <w:tcW w:type="dxa" w:w="4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CreateOrder and blotter query</w:t>
            </w:r>
          </w:p>
        </w:tc>
      </w:tr>
      <w:tr>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/v1/reports</w:t>
            </w:r>
          </w:p>
        </w:tc>
        <w:tc>
          <w:tcPr>
            <w:tcW w:type="dxa" w:w="1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POST/GET</w:t>
            </w:r>
          </w:p>
        </w:tc>
        <w:tc>
          <w:tcPr>
            <w:tcW w:type="dxa" w:w="4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CreateReport with measures pnl, longExposure, shortExposure, assetCount, turnover</w:t>
            </w:r>
          </w:p>
        </w:tc>
      </w:tr>
      <w:tr>
        <w:tc>
          <w:tcPr>
            <w:tcW w:type="dxa" w:w="3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/v1/reports/{id}/jobs</w:t>
            </w:r>
          </w:p>
        </w:tc>
        <w:tc>
          <w:tcPr>
            <w:tcW w:type="dxa" w:w="1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GET</w:t>
            </w:r>
          </w:p>
        </w:tc>
        <w:tc>
          <w:tcPr>
            <w:tcW w:type="dxa" w:w="4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Job status, artifacts</w:t>
            </w:r>
          </w:p>
        </w:tc>
      </w:tr>
      <w:tr>
        <w:tc>
          <w:tcPr>
            <w:tcW w:type="dxa" w:w="32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/v1/guidelines/evaluate</w:t>
            </w:r>
          </w:p>
        </w:tc>
        <w:tc>
          <w:tcPr>
            <w:tcW w:type="dxa" w:w="16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POST</w:t>
            </w:r>
          </w:p>
        </w:tc>
        <w:tc>
          <w:tcPr>
            <w:tcW w:type="dxa" w:w="4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Synchronous pre-trade eval</w:t>
            </w:r>
          </w:p>
        </w:tc>
      </w:tr>
    </w:tbl>
    <w:p>
      <w:pPr>
        <w:spacing w:after="140"/>
      </w:pPr>
    </w:p>
    <w:p>
      <w:pPr>
        <w:spacing w:after="120" w:before="0" w:line="276"/>
      </w:pPr>
      <w:r>
        <w:rPr>
          <w:rFonts w:ascii="Calibri" w:cs="Calibri" w:eastAsia="Calibri" w:hAnsi="Calibri"/>
          <w:b w:val="false"/>
          <w:bCs w:val="false"/>
          <w:i w:val="false"/>
          <w:iCs w:val="false"/>
          <w:color w:val="334155"/>
          <w:sz w:val="22"/>
          <w:szCs w:val="22"/>
        </w:rPr>
        <w:t xml:space="preserve">Required scopes follow the Marquee pattern: read_product_data, read_portfolio, write_trade, run_risk, create_report. Entitlements and entitlementExclusions travel on every object. A caller never sees a Holding they are not entitled to, including through look-through.</w:t>
      </w:r>
    </w:p>
    <w:p>
      <w:pPr>
        <w:pStyle w:val="Heading2"/>
        <w:spacing w:after="120" w:before="280"/>
      </w:pPr>
      <w:r>
        <w:rPr>
          <w:rFonts w:ascii="Calibri" w:cs="Calibri" w:eastAsia="Calibri" w:hAnsi="Calibri"/>
          <w:b/>
          <w:bCs/>
          <w:color w:val="0E6B6B"/>
          <w:sz w:val="26"/>
          <w:szCs w:val="26"/>
        </w:rPr>
        <w:t xml:space="preserve">8.2 Measures (report and data)</w:t>
      </w:r>
    </w:p>
    <w:p>
      <w:pPr>
        <w:spacing w:after="120" w:before="0" w:line="276"/>
      </w:pPr>
      <w:r>
        <w:rPr>
          <w:rFonts w:ascii="Calibri" w:cs="Calibri" w:eastAsia="Calibri" w:hAnsi="Calibri"/>
          <w:b w:val="false"/>
          <w:bCs w:val="false"/>
          <w:i w:val="false"/>
          <w:iCs w:val="false"/>
          <w:color w:val="334155"/>
          <w:sz w:val="22"/>
          <w:szCs w:val="22"/>
        </w:rPr>
        <w:t xml:space="preserve">Canonical measure enum for v0.1: pnl, longExposure, shortExposure, assetCount, assetCountLong, assetCountShort, turnover, mktValue, duration, spreadDur, ytm, trackingError, var95, cvar95, teContribution, weight. New measures are schema changes, not query parameters invented by a notebook.</w:t>
      </w:r>
    </w:p>
    <w:p>
      <w:pPr>
        <w:pStyle w:val="Heading1"/>
        <w:pBdr>
          <w:bottom w:val="single" w:color="0E6B6B" w:sz="12" w:space="6"/>
        </w:pBdr>
        <w:spacing w:after="160" w:before="360"/>
      </w:pPr>
      <w:r>
        <w:rPr>
          <w:rFonts w:ascii="Calibri" w:cs="Calibri" w:eastAsia="Calibri" w:hAnsi="Calibri"/>
          <w:b/>
          <w:bCs/>
          <w:color w:val="0B1F3A"/>
          <w:sz w:val="32"/>
          <w:szCs w:val="32"/>
        </w:rPr>
        <w:t xml:space="preserve">9. Operating model</w:t>
      </w:r>
    </w:p>
    <w:p>
      <w:pPr>
        <w:pStyle w:val="Heading2"/>
        <w:spacing w:after="120" w:before="280"/>
      </w:pPr>
      <w:r>
        <w:rPr>
          <w:rFonts w:ascii="Calibri" w:cs="Calibri" w:eastAsia="Calibri" w:hAnsi="Calibri"/>
          <w:b/>
          <w:bCs/>
          <w:color w:val="0E6B6B"/>
          <w:sz w:val="26"/>
          <w:szCs w:val="26"/>
        </w:rPr>
        <w:t xml:space="preserve">9.1 Delivered as a service</w:t>
      </w:r>
    </w:p>
    <w:p>
      <w:pPr>
        <w:spacing w:after="120" w:before="0" w:line="276"/>
      </w:pPr>
      <w:r>
        <w:rPr>
          <w:rFonts w:ascii="Calibri" w:cs="Calibri" w:eastAsia="Calibri" w:hAnsi="Calibri"/>
          <w:b w:val="false"/>
          <w:bCs w:val="false"/>
          <w:i w:val="false"/>
          <w:iCs w:val="false"/>
          <w:color w:val="334155"/>
          <w:sz w:val="22"/>
          <w:szCs w:val="22"/>
        </w:rPr>
        <w:t xml:space="preserve">Copy Aladdin’s commercial shape, not its brand:</w:t>
      </w:r>
    </w:p>
    <w:p>
      <w:pPr>
        <w:pStyle w:val="ListParagraph"/>
        <w:numPr>
          <w:ilvl w:val="0"/>
          <w:numId w:val="2"/>
        </w:numPr>
        <w:spacing w:after="60" w:line="260"/>
      </w:pPr>
      <w:r>
        <w:rPr>
          <w:rFonts w:ascii="Calibri" w:cs="Calibri" w:eastAsia="Calibri" w:hAnsi="Calibri"/>
          <w:color w:val="334155"/>
          <w:sz w:val="21"/>
          <w:szCs w:val="21"/>
        </w:rPr>
        <w:t xml:space="preserve">Implementation services and business-process consulting.</w:t>
      </w:r>
    </w:p>
    <w:p>
      <w:pPr>
        <w:pStyle w:val="ListParagraph"/>
        <w:numPr>
          <w:ilvl w:val="0"/>
          <w:numId w:val="2"/>
        </w:numPr>
        <w:spacing w:after="60" w:line="260"/>
      </w:pPr>
      <w:r>
        <w:rPr>
          <w:rFonts w:ascii="Calibri" w:cs="Calibri" w:eastAsia="Calibri" w:hAnsi="Calibri"/>
          <w:color w:val="334155"/>
          <w:sz w:val="21"/>
          <w:szCs w:val="21"/>
        </w:rPr>
        <w:t xml:space="preserve">Daily risk production and data interfaces.</w:t>
      </w:r>
    </w:p>
    <w:p>
      <w:pPr>
        <w:pStyle w:val="ListParagraph"/>
        <w:numPr>
          <w:ilvl w:val="0"/>
          <w:numId w:val="2"/>
        </w:numPr>
        <w:spacing w:after="60" w:line="260"/>
      </w:pPr>
      <w:r>
        <w:rPr>
          <w:rFonts w:ascii="Calibri" w:cs="Calibri" w:eastAsia="Calibri" w:hAnsi="Calibri"/>
          <w:color w:val="334155"/>
          <w:sz w:val="21"/>
          <w:szCs w:val="21"/>
        </w:rPr>
        <w:t xml:space="preserve">Technology and facilities management.</w:t>
      </w:r>
    </w:p>
    <w:p>
      <w:pPr>
        <w:pStyle w:val="ListParagraph"/>
        <w:numPr>
          <w:ilvl w:val="0"/>
          <w:numId w:val="2"/>
        </w:numPr>
        <w:spacing w:after="60" w:line="260"/>
      </w:pPr>
      <w:r>
        <w:rPr>
          <w:rFonts w:ascii="Calibri" w:cs="Calibri" w:eastAsia="Calibri" w:hAnsi="Calibri"/>
          <w:color w:val="334155"/>
          <w:sz w:val="21"/>
          <w:szCs w:val="21"/>
        </w:rPr>
        <w:t xml:space="preserve">Systems operations and a single change train.</w:t>
      </w:r>
    </w:p>
    <w:p>
      <w:pPr>
        <w:pStyle w:val="ListParagraph"/>
        <w:numPr>
          <w:ilvl w:val="0"/>
          <w:numId w:val="2"/>
        </w:numPr>
        <w:spacing w:after="60" w:line="260"/>
      </w:pPr>
      <w:r>
        <w:rPr>
          <w:rFonts w:ascii="Calibri" w:cs="Calibri" w:eastAsia="Calibri" w:hAnsi="Calibri"/>
          <w:color w:val="334155"/>
          <w:sz w:val="21"/>
          <w:szCs w:val="21"/>
        </w:rPr>
        <w:t xml:space="preserve">Clients focus on investment decisions, not vendor glue.</w:t>
      </w:r>
    </w:p>
    <w:p>
      <w:pPr>
        <w:pStyle w:val="Heading2"/>
        <w:spacing w:after="120" w:before="280"/>
      </w:pPr>
      <w:r>
        <w:rPr>
          <w:rFonts w:ascii="Calibri" w:cs="Calibri" w:eastAsia="Calibri" w:hAnsi="Calibri"/>
          <w:b/>
          <w:bCs/>
          <w:color w:val="0E6B6B"/>
          <w:sz w:val="26"/>
          <w:szCs w:val="26"/>
        </w:rPr>
        <w:t xml:space="preserve">9.2 Multi-entity and pooling</w:t>
      </w:r>
    </w:p>
    <w:p>
      <w:pPr>
        <w:spacing w:after="120" w:before="0" w:line="276"/>
      </w:pPr>
      <w:r>
        <w:rPr>
          <w:rFonts w:ascii="Calibri" w:cs="Calibri" w:eastAsia="Calibri" w:hAnsi="Calibri"/>
          <w:b w:val="false"/>
          <w:bCs w:val="false"/>
          <w:i w:val="false"/>
          <w:iCs w:val="false"/>
          <w:color w:val="334155"/>
          <w:sz w:val="22"/>
          <w:szCs w:val="22"/>
        </w:rPr>
        <w:t xml:space="preserve">The Welsh LGPS deck and the $300bn Asian multi-affiliate case study are the same pattern: do not force a legal merger to get operational scale. MESTA-ASSET supports a shared-service group on top of separate LegalEntities.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Function</w:t>
            </w:r>
          </w:p>
        </w:tc>
        <w:tc>
          <w:tcPr>
            <w:tcW w:type="dxa" w:w="328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Can be shared</w:t>
            </w:r>
          </w:p>
        </w:tc>
        <w:tc>
          <w:tcPr>
            <w:tcW w:type="dxa" w:w="328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Stays local</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Risk production (green package)</w:t>
            </w:r>
          </w:p>
        </w:tc>
        <w:tc>
          <w:tcPr>
            <w:tcW w:type="dxa" w:w="32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Yes — one grid, many books</w:t>
            </w:r>
          </w:p>
        </w:tc>
        <w:tc>
          <w:tcPr>
            <w:tcW w:type="dxa" w:w="32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Interpretation, risk appetite</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Compliance rule engine</w:t>
            </w:r>
          </w:p>
        </w:tc>
        <w:tc>
          <w:tcPr>
            <w:tcW w:type="dxa" w:w="328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Yes — shared workbench</w:t>
            </w:r>
          </w:p>
        </w:tc>
        <w:tc>
          <w:tcPr>
            <w:tcW w:type="dxa" w:w="328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Guideline text and waivers</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construction</w:t>
            </w:r>
          </w:p>
        </w:tc>
        <w:tc>
          <w:tcPr>
            <w:tcW w:type="dxa" w:w="32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Optional</w:t>
            </w:r>
          </w:p>
        </w:tc>
        <w:tc>
          <w:tcPr>
            <w:tcW w:type="dxa" w:w="32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CIO decision rights</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Trade execution</w:t>
            </w:r>
          </w:p>
        </w:tc>
        <w:tc>
          <w:tcPr>
            <w:tcW w:type="dxa" w:w="328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Optional shared desk</w:t>
            </w:r>
          </w:p>
        </w:tc>
        <w:tc>
          <w:tcPr>
            <w:tcW w:type="dxa" w:w="328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Best-ex policy per entity</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Confirmation / recon / data</w:t>
            </w:r>
          </w:p>
        </w:tc>
        <w:tc>
          <w:tcPr>
            <w:tcW w:type="dxa" w:w="32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Yes, natural shared service</w:t>
            </w:r>
          </w:p>
        </w:tc>
        <w:tc>
          <w:tcPr>
            <w:tcW w:type="dxa" w:w="32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Regulatory reporting sign-off</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Accounting / official NAV</w:t>
            </w:r>
          </w:p>
        </w:tc>
        <w:tc>
          <w:tcPr>
            <w:tcW w:type="dxa" w:w="328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Shared ops, local books</w:t>
            </w:r>
          </w:p>
        </w:tc>
        <w:tc>
          <w:tcPr>
            <w:tcW w:type="dxa" w:w="328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Statutory accounts</w:t>
            </w:r>
          </w:p>
        </w:tc>
      </w:tr>
    </w:tbl>
    <w:p>
      <w:pPr>
        <w:pStyle w:val="Heading2"/>
        <w:spacing w:after="120" w:before="280"/>
      </w:pPr>
      <w:r>
        <w:rPr>
          <w:rFonts w:ascii="Calibri" w:cs="Calibri" w:eastAsia="Calibri" w:hAnsi="Calibri"/>
          <w:b/>
          <w:bCs/>
          <w:color w:val="0E6B6B"/>
          <w:sz w:val="26"/>
          <w:szCs w:val="26"/>
        </w:rPr>
        <w:t xml:space="preserve">9.3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Role</w:t>
            </w:r>
          </w:p>
        </w:tc>
        <w:tc>
          <w:tcPr>
            <w:tcW w:type="dxa" w:w="6560"/>
            <w:tcBorders>
              <w:top w:val="single" w:color="D0D7DE" w:sz="4"/>
              <w:left w:val="single" w:color="D0D7DE" w:sz="4"/>
              <w:bottom w:val="single" w:color="D0D7DE" w:sz="4"/>
              <w:right w:val="single" w:color="D0D7DE" w:sz="4"/>
            </w:tcBorders>
            <w:shd w:fill="0B1F3A" w:val="clear"/>
            <w:tcMar>
              <w:top w:type="dxa" w:w="60"/>
              <w:left w:type="dxa" w:w="80"/>
              <w:bottom w:type="dxa" w:w="60"/>
              <w:right w:type="dxa" w:w="80"/>
            </w:tcMar>
            <w:vAlign w:val="top"/>
          </w:tcPr>
          <w:p>
            <w:pPr>
              <w:jc w:val="left"/>
            </w:pPr>
            <w:r>
              <w:rPr>
                <w:rFonts w:ascii="Calibri" w:cs="Calibri" w:eastAsia="Calibri" w:hAnsi="Calibri"/>
                <w:b/>
                <w:bCs/>
                <w:color w:val="FFFFFF"/>
                <w:sz w:val="18"/>
                <w:szCs w:val="18"/>
              </w:rPr>
              <w:t xml:space="preserve">Sees / does</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Ontology Administrator</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Schema, Action Types, deprecation. Final authority.</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Data Steward / ISO</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Markings, RLS, OLS. Who may see a Holding or Liability.</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Portfolio Manager</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Build, rebalance, propose orders on entitled books.</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Trader</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CreateOrder through BookExecution on the blotter.</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Compliance Officer</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Guidelines, breaches, waivers.</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Risk Officer</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Models, scenarios, official RiskRuns.</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Operations</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Confirms, recon, corp actions, calls.</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Accountant</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Official periods, NAV oversight, composites.</w:t>
            </w:r>
          </w:p>
        </w:tc>
      </w:tr>
      <w:tr>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Viewer</w:t>
            </w:r>
          </w:p>
        </w:tc>
        <w:tc>
          <w:tcPr>
            <w:tcW w:type="dxa" w:w="656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Entitled read only. No Actions with side effects.</w:t>
            </w:r>
          </w:p>
        </w:tc>
      </w:tr>
      <w:tr>
        <w:tc>
          <w:tcPr>
            <w:tcW w:type="dxa" w:w="280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Copilot Agent</w:t>
            </w:r>
          </w:p>
        </w:tc>
        <w:tc>
          <w:tcPr>
            <w:tcW w:type="dxa" w:w="6560"/>
            <w:tcBorders>
              <w:top w:val="single" w:color="D0D7DE" w:sz="4"/>
              <w:left w:val="single" w:color="D0D7DE" w:sz="4"/>
              <w:bottom w:val="single" w:color="D0D7DE" w:sz="4"/>
              <w:right w:val="single" w:color="D0D7DE" w:sz="4"/>
            </w:tcBorders>
            <w:shd w:fill="F4F7FA" w:val="clear"/>
            <w:tcMar>
              <w:top w:type="dxa" w:w="60"/>
              <w:left w:type="dxa" w:w="80"/>
              <w:bottom w:type="dxa" w:w="60"/>
              <w:right w:type="dxa" w:w="80"/>
            </w:tcMar>
            <w:vAlign w:val="top"/>
          </w:tcPr>
          <w:p>
            <w:pPr>
              <w:jc w:val="left"/>
            </w:pPr>
            <w:r>
              <w:rPr>
                <w:rFonts w:ascii="Calibri" w:cs="Calibri" w:eastAsia="Calibri" w:hAnsi="Calibri"/>
                <w:b w:val="false"/>
                <w:bCs w:val="false"/>
                <w:color w:val="334155"/>
                <w:sz w:val="18"/>
                <w:szCs w:val="18"/>
              </w:rPr>
              <w:t xml:space="preserve">Only Action Types on its allow-list. Never WaiveBreach or LockOfficialPeriod.</w:t>
            </w:r>
          </w:p>
        </w:tc>
      </w:tr>
    </w:tbl>
    <w:p>
      <w:pPr>
        <w:pStyle w:val="Heading1"/>
        <w:pBdr>
          <w:bottom w:val="single" w:color="0E6B6B" w:sz="12" w:space="6"/>
        </w:pBdr>
        <w:spacing w:after="160" w:before="360"/>
      </w:pPr>
      <w:r>
        <w:rPr>
          <w:rFonts w:ascii="Calibri" w:cs="Calibri" w:eastAsia="Calibri" w:hAnsi="Calibri"/>
          <w:b/>
          <w:bCs/>
          <w:color w:val="0B1F3A"/>
          <w:sz w:val="32"/>
          <w:szCs w:val="32"/>
        </w:rPr>
        <w:t xml:space="preserve">10. Mesta Copilot (OAG, not a chatbot)</w:t>
      </w:r>
    </w:p>
    <w:p>
      <w:pPr>
        <w:spacing w:after="120" w:before="0" w:line="276"/>
      </w:pPr>
      <w:r>
        <w:rPr>
          <w:rFonts w:ascii="Calibri" w:cs="Calibri" w:eastAsia="Calibri" w:hAnsi="Calibri"/>
          <w:b w:val="false"/>
          <w:bCs w:val="false"/>
          <w:i w:val="false"/>
          <w:iCs w:val="false"/>
          <w:color w:val="334155"/>
          <w:sz w:val="22"/>
          <w:szCs w:val="22"/>
        </w:rPr>
        <w:t xml:space="preserve">Aladdin Copilot is the current analog. MESTA does not let a model invent exposures. Copilot is Ontology-Augmented Generation: retrieve objects and links, reason, then either answer with citations to object IDs or propose an Action for a human to approve.</w:t>
      </w:r>
    </w:p>
    <w:p>
      <w:pPr>
        <w:pStyle w:val="ListParagraph"/>
        <w:numPr>
          <w:ilvl w:val="0"/>
          <w:numId w:val="2"/>
        </w:numPr>
        <w:spacing w:after="60" w:line="260"/>
      </w:pPr>
      <w:r>
        <w:rPr>
          <w:rFonts w:ascii="Calibri" w:cs="Calibri" w:eastAsia="Calibri" w:hAnsi="Calibri"/>
          <w:color w:val="334155"/>
          <w:sz w:val="21"/>
          <w:szCs w:val="21"/>
        </w:rPr>
        <w:t xml:space="preserve">Allowed tools: query objects, walk links, evaluate guidelines, draft CreateOrder / ProposeRebalance / CreateReport.</w:t>
      </w:r>
    </w:p>
    <w:p>
      <w:pPr>
        <w:pStyle w:val="ListParagraph"/>
        <w:numPr>
          <w:ilvl w:val="0"/>
          <w:numId w:val="2"/>
        </w:numPr>
        <w:spacing w:after="60" w:line="260"/>
      </w:pPr>
      <w:r>
        <w:rPr>
          <w:rFonts w:ascii="Calibri" w:cs="Calibri" w:eastAsia="Calibri" w:hAnsi="Calibri"/>
          <w:color w:val="334155"/>
          <w:sz w:val="21"/>
          <w:szCs w:val="21"/>
        </w:rPr>
        <w:t xml:space="preserve">Forbidden tools: WaiveBreach, LockOfficialPeriod, SetPreference that changes risk models, any unmarked data.</w:t>
      </w:r>
    </w:p>
    <w:p>
      <w:pPr>
        <w:pStyle w:val="ListParagraph"/>
        <w:numPr>
          <w:ilvl w:val="0"/>
          <w:numId w:val="2"/>
        </w:numPr>
        <w:spacing w:after="60" w:line="260"/>
      </w:pPr>
      <w:r>
        <w:rPr>
          <w:rFonts w:ascii="Calibri" w:cs="Calibri" w:eastAsia="Calibri" w:hAnsi="Calibri"/>
          <w:color w:val="334155"/>
          <w:sz w:val="21"/>
          <w:szCs w:val="21"/>
        </w:rPr>
        <w:t xml:space="preserve">Every answer cites Holding, RiskRun, or Guideline IDs. No unsourced numbers.</w:t>
      </w:r>
    </w:p>
    <w:p>
      <w:pPr>
        <w:pStyle w:val="ListParagraph"/>
        <w:numPr>
          <w:ilvl w:val="0"/>
          <w:numId w:val="2"/>
        </w:numPr>
        <w:spacing w:after="60" w:line="260"/>
      </w:pPr>
      <w:r>
        <w:rPr>
          <w:rFonts w:ascii="Calibri" w:cs="Calibri" w:eastAsia="Calibri" w:hAnsi="Calibri"/>
          <w:color w:val="334155"/>
          <w:sz w:val="21"/>
          <w:szCs w:val="21"/>
        </w:rPr>
        <w:t xml:space="preserve">Sessions are objects. Replayable. Marked with the same classification as the objects touched.</w:t>
      </w:r>
    </w:p>
    <w:p>
      <w:pPr>
        <w:pStyle w:val="Heading1"/>
        <w:pBdr>
          <w:bottom w:val="single" w:color="0E6B6B" w:sz="12" w:space="6"/>
        </w:pBdr>
        <w:spacing w:after="160" w:before="360"/>
      </w:pPr>
      <w:r>
        <w:rPr>
          <w:rFonts w:ascii="Calibri" w:cs="Calibri" w:eastAsia="Calibri" w:hAnsi="Calibri"/>
          <w:b/>
          <w:bCs/>
          <w:color w:val="0B1F3A"/>
          <w:sz w:val="32"/>
          <w:szCs w:val="32"/>
        </w:rPr>
        <w:t xml:space="preserve">11. Security and data markings</w:t>
      </w:r>
    </w:p>
    <w:p>
      <w:pPr>
        <w:spacing w:after="120" w:before="0" w:line="276"/>
      </w:pPr>
      <w:r>
        <w:rPr>
          <w:rFonts w:ascii="Calibri" w:cs="Calibri" w:eastAsia="Calibri" w:hAnsi="Calibri"/>
          <w:b w:val="false"/>
          <w:bCs w:val="false"/>
          <w:i w:val="false"/>
          <w:iCs w:val="false"/>
          <w:color w:val="334155"/>
          <w:sz w:val="22"/>
          <w:szCs w:val="22"/>
        </w:rPr>
        <w:t xml:space="preserve">Copied from the project’s Data Steward stance, applied to an IBOR.</w:t>
      </w:r>
    </w:p>
    <w:p>
      <w:pPr>
        <w:pStyle w:val="ListParagraph"/>
        <w:numPr>
          <w:ilvl w:val="0"/>
          <w:numId w:val="2"/>
        </w:numPr>
        <w:spacing w:after="60" w:line="260"/>
      </w:pPr>
      <w:r>
        <w:rPr>
          <w:rFonts w:ascii="Calibri" w:cs="Calibri" w:eastAsia="Calibri" w:hAnsi="Calibri"/>
          <w:color w:val="334155"/>
          <w:sz w:val="21"/>
          <w:szCs w:val="21"/>
        </w:rPr>
        <w:t xml:space="preserve">Classification on Instrument, Portfolio, Holding, Liability, Report (e.g. Public, Internal, Confidential, Restricted).</w:t>
      </w:r>
    </w:p>
    <w:p>
      <w:pPr>
        <w:pStyle w:val="ListParagraph"/>
        <w:numPr>
          <w:ilvl w:val="0"/>
          <w:numId w:val="2"/>
        </w:numPr>
        <w:spacing w:after="60" w:line="260"/>
      </w:pPr>
      <w:r>
        <w:rPr>
          <w:rFonts w:ascii="Calibri" w:cs="Calibri" w:eastAsia="Calibri" w:hAnsi="Calibri"/>
          <w:color w:val="334155"/>
          <w:sz w:val="21"/>
          <w:szCs w:val="21"/>
        </w:rPr>
        <w:t xml:space="preserve">Row-level security on Portfolio and LegalEntity. A PM in Affiliate A never walks into Affiliate B via look-through unless entitled.</w:t>
      </w:r>
    </w:p>
    <w:p>
      <w:pPr>
        <w:pStyle w:val="ListParagraph"/>
        <w:numPr>
          <w:ilvl w:val="0"/>
          <w:numId w:val="2"/>
        </w:numPr>
        <w:spacing w:after="60" w:line="260"/>
      </w:pPr>
      <w:r>
        <w:rPr>
          <w:rFonts w:ascii="Calibri" w:cs="Calibri" w:eastAsia="Calibri" w:hAnsi="Calibri"/>
          <w:color w:val="334155"/>
          <w:sz w:val="21"/>
          <w:szCs w:val="21"/>
        </w:rPr>
        <w:t xml:space="preserve">Object-level security on Mandate, Guideline, and official ReturnSeries.</w:t>
      </w:r>
    </w:p>
    <w:p>
      <w:pPr>
        <w:pStyle w:val="ListParagraph"/>
        <w:numPr>
          <w:ilvl w:val="0"/>
          <w:numId w:val="2"/>
        </w:numPr>
        <w:spacing w:after="60" w:line="260"/>
      </w:pPr>
      <w:r>
        <w:rPr>
          <w:rFonts w:ascii="Calibri" w:cs="Calibri" w:eastAsia="Calibri" w:hAnsi="Calibri"/>
          <w:color w:val="334155"/>
          <w:sz w:val="21"/>
          <w:szCs w:val="21"/>
        </w:rPr>
        <w:t xml:space="preserve">Look-through inherits the stricter of parent and child markings.</w:t>
      </w:r>
    </w:p>
    <w:p>
      <w:pPr>
        <w:pStyle w:val="ListParagraph"/>
        <w:numPr>
          <w:ilvl w:val="0"/>
          <w:numId w:val="2"/>
        </w:numPr>
        <w:spacing w:after="60" w:line="260"/>
      </w:pPr>
      <w:r>
        <w:rPr>
          <w:rFonts w:ascii="Calibri" w:cs="Calibri" w:eastAsia="Calibri" w:hAnsi="Calibri"/>
          <w:color w:val="334155"/>
          <w:sz w:val="21"/>
          <w:szCs w:val="21"/>
        </w:rPr>
        <w:t xml:space="preserve">Actions fail closed if the actor lacks the marking and the role.</w:t>
      </w:r>
    </w:p>
    <w:p>
      <w:pPr>
        <w:pStyle w:val="Heading1"/>
        <w:pBdr>
          <w:bottom w:val="single" w:color="0E6B6B" w:sz="12" w:space="6"/>
        </w:pBdr>
        <w:spacing w:after="160" w:before="360"/>
      </w:pPr>
      <w:r>
        <w:rPr>
          <w:rFonts w:ascii="Calibri" w:cs="Calibri" w:eastAsia="Calibri" w:hAnsi="Calibri"/>
          <w:b/>
          <w:bCs/>
          <w:color w:val="0B1F3A"/>
          <w:sz w:val="32"/>
          <w:szCs w:val="32"/>
        </w:rPr>
        <w:t xml:space="preserve">12. Concept inventory (software, not marketing)</w:t>
      </w:r>
    </w:p>
    <w:p>
      <w:pPr>
        <w:spacing w:after="120" w:before="0" w:line="276"/>
      </w:pPr>
      <w:r>
        <w:rPr>
          <w:rFonts w:ascii="Calibri" w:cs="Calibri" w:eastAsia="Calibri" w:hAnsi="Calibri"/>
          <w:b w:val="false"/>
          <w:bCs w:val="false"/>
          <w:i w:val="false"/>
          <w:iCs w:val="false"/>
          <w:color w:val="334155"/>
          <w:sz w:val="22"/>
          <w:szCs w:val="22"/>
        </w:rPr>
        <w:t xml:space="preserve">The Concept-Centric Software Development paper in this project is the implementation discipline. Before a screen ships, the concept is registered. v0.1 inventory:</w:t>
      </w:r>
    </w:p>
    <w:p>
      <w:pPr>
        <w:pStyle w:val="ListParagraph"/>
        <w:numPr>
          <w:ilvl w:val="0"/>
          <w:numId w:val="2"/>
        </w:numPr>
        <w:spacing w:after="60" w:line="260"/>
      </w:pPr>
      <w:r>
        <w:rPr>
          <w:rFonts w:ascii="Calibri" w:cs="Calibri" w:eastAsia="Calibri" w:hAnsi="Calibri"/>
          <w:color w:val="334155"/>
          <w:sz w:val="21"/>
          <w:szCs w:val="21"/>
        </w:rPr>
        <w:t xml:space="preserve">Book of Record, Position, Pending vs Settled, Availability.</w:t>
      </w:r>
    </w:p>
    <w:p>
      <w:pPr>
        <w:pStyle w:val="ListParagraph"/>
        <w:numPr>
          <w:ilvl w:val="0"/>
          <w:numId w:val="2"/>
        </w:numPr>
        <w:spacing w:after="60" w:line="260"/>
      </w:pPr>
      <w:r>
        <w:rPr>
          <w:rFonts w:ascii="Calibri" w:cs="Calibri" w:eastAsia="Calibri" w:hAnsi="Calibri"/>
          <w:color w:val="334155"/>
          <w:sz w:val="21"/>
          <w:szCs w:val="21"/>
        </w:rPr>
        <w:t xml:space="preserve">Look-Through, Whole Portfolio, Sleeve, Pool.</w:t>
      </w:r>
    </w:p>
    <w:p>
      <w:pPr>
        <w:pStyle w:val="ListParagraph"/>
        <w:numPr>
          <w:ilvl w:val="0"/>
          <w:numId w:val="2"/>
        </w:numPr>
        <w:spacing w:after="60" w:line="260"/>
      </w:pPr>
      <w:r>
        <w:rPr>
          <w:rFonts w:ascii="Calibri" w:cs="Calibri" w:eastAsia="Calibri" w:hAnsi="Calibri"/>
          <w:color w:val="334155"/>
          <w:sz w:val="21"/>
          <w:szCs w:val="21"/>
        </w:rPr>
        <w:t xml:space="preserve">Mandate, Guideline, Breach, Waiver.</w:t>
      </w:r>
    </w:p>
    <w:p>
      <w:pPr>
        <w:pStyle w:val="ListParagraph"/>
        <w:numPr>
          <w:ilvl w:val="0"/>
          <w:numId w:val="2"/>
        </w:numPr>
        <w:spacing w:after="60" w:line="260"/>
      </w:pPr>
      <w:r>
        <w:rPr>
          <w:rFonts w:ascii="Calibri" w:cs="Calibri" w:eastAsia="Calibri" w:hAnsi="Calibri"/>
          <w:color w:val="334155"/>
          <w:sz w:val="21"/>
          <w:szCs w:val="21"/>
        </w:rPr>
        <w:t xml:space="preserve">Order, Block, Allocation, Fill.</w:t>
      </w:r>
    </w:p>
    <w:p>
      <w:pPr>
        <w:pStyle w:val="ListParagraph"/>
        <w:numPr>
          <w:ilvl w:val="0"/>
          <w:numId w:val="2"/>
        </w:numPr>
        <w:spacing w:after="60" w:line="260"/>
      </w:pPr>
      <w:r>
        <w:rPr>
          <w:rFonts w:ascii="Calibri" w:cs="Calibri" w:eastAsia="Calibri" w:hAnsi="Calibri"/>
          <w:color w:val="334155"/>
          <w:sz w:val="21"/>
          <w:szCs w:val="21"/>
        </w:rPr>
        <w:t xml:space="preserve">RiskRun, Factor, Scenario, What-If.</w:t>
      </w:r>
    </w:p>
    <w:p>
      <w:pPr>
        <w:pStyle w:val="ListParagraph"/>
        <w:numPr>
          <w:ilvl w:val="0"/>
          <w:numId w:val="2"/>
        </w:numPr>
        <w:spacing w:after="60" w:line="260"/>
      </w:pPr>
      <w:r>
        <w:rPr>
          <w:rFonts w:ascii="Calibri" w:cs="Calibri" w:eastAsia="Calibri" w:hAnsi="Calibri"/>
          <w:color w:val="334155"/>
          <w:sz w:val="21"/>
          <w:szCs w:val="21"/>
        </w:rPr>
        <w:t xml:space="preserve">Official Period, Composite, NAV Oversight.</w:t>
      </w:r>
    </w:p>
    <w:p>
      <w:pPr>
        <w:pStyle w:val="ListParagraph"/>
        <w:numPr>
          <w:ilvl w:val="0"/>
          <w:numId w:val="2"/>
        </w:numPr>
        <w:spacing w:after="60" w:line="260"/>
      </w:pPr>
      <w:r>
        <w:rPr>
          <w:rFonts w:ascii="Calibri" w:cs="Calibri" w:eastAsia="Calibri" w:hAnsi="Calibri"/>
          <w:color w:val="334155"/>
          <w:sz w:val="21"/>
          <w:szCs w:val="21"/>
        </w:rPr>
        <w:t xml:space="preserve">Commitment, Unfunded, Call, Pacing.</w:t>
      </w:r>
    </w:p>
    <w:p>
      <w:pPr>
        <w:pStyle w:val="ListParagraph"/>
        <w:numPr>
          <w:ilvl w:val="0"/>
          <w:numId w:val="2"/>
        </w:numPr>
        <w:spacing w:after="60" w:line="260"/>
      </w:pPr>
      <w:r>
        <w:rPr>
          <w:rFonts w:ascii="Calibri" w:cs="Calibri" w:eastAsia="Calibri" w:hAnsi="Calibri"/>
          <w:color w:val="334155"/>
          <w:sz w:val="21"/>
          <w:szCs w:val="21"/>
        </w:rPr>
        <w:t xml:space="preserve">Liability, Funding Gap, Overlay.</w:t>
      </w:r>
    </w:p>
    <w:p>
      <w:pPr>
        <w:pStyle w:val="ListParagraph"/>
        <w:numPr>
          <w:ilvl w:val="0"/>
          <w:numId w:val="2"/>
        </w:numPr>
        <w:spacing w:after="60" w:line="260"/>
      </w:pPr>
      <w:r>
        <w:rPr>
          <w:rFonts w:ascii="Calibri" w:cs="Calibri" w:eastAsia="Calibri" w:hAnsi="Calibri"/>
          <w:color w:val="334155"/>
          <w:sz w:val="21"/>
          <w:szCs w:val="21"/>
        </w:rPr>
        <w:t xml:space="preserve">Entitlement, Marking, Four-Eyes.</w:t>
      </w:r>
    </w:p>
    <w:p>
      <w:pPr>
        <w:spacing w:after="120" w:before="0" w:line="276"/>
      </w:pPr>
      <w:r>
        <w:rPr>
          <w:rFonts w:ascii="Calibri" w:cs="Calibri" w:eastAsia="Calibri" w:hAnsi="Calibri"/>
          <w:b w:val="false"/>
          <w:bCs w:val="false"/>
          <w:i w:val="false"/>
          <w:iCs w:val="false"/>
          <w:color w:val="334155"/>
          <w:sz w:val="22"/>
          <w:szCs w:val="22"/>
        </w:rPr>
        <w:t xml:space="preserve">Each concept has a purpose, an operational principle, and at least one Action or query that makes it real. Concepts that exist only in slide titles are deleted.</w:t>
      </w:r>
    </w:p>
    <w:p>
      <w:pPr>
        <w:pStyle w:val="Heading1"/>
        <w:pBdr>
          <w:bottom w:val="single" w:color="0E6B6B" w:sz="12" w:space="6"/>
        </w:pBdr>
        <w:spacing w:after="160" w:before="360"/>
      </w:pPr>
      <w:r>
        <w:rPr>
          <w:rFonts w:ascii="Calibri" w:cs="Calibri" w:eastAsia="Calibri" w:hAnsi="Calibri"/>
          <w:b/>
          <w:bCs/>
          <w:color w:val="0B1F3A"/>
          <w:sz w:val="32"/>
          <w:szCs w:val="32"/>
        </w:rPr>
        <w:t xml:space="preserve">13. Implementation roadmap</w:t>
      </w:r>
    </w:p>
    <w:p>
      <w:pPr>
        <w:pStyle w:val="Heading2"/>
        <w:spacing w:after="120" w:before="280"/>
      </w:pPr>
      <w:r>
        <w:rPr>
          <w:rFonts w:ascii="Calibri" w:cs="Calibri" w:eastAsia="Calibri" w:hAnsi="Calibri"/>
          <w:b/>
          <w:bCs/>
          <w:color w:val="0E6B6B"/>
          <w:sz w:val="26"/>
          <w:szCs w:val="26"/>
        </w:rPr>
        <w:t xml:space="preserve">Phase 0 — Foundation (weeks 1–6)</w:t>
      </w:r>
    </w:p>
    <w:p>
      <w:pPr>
        <w:pStyle w:val="ListParagraph"/>
        <w:numPr>
          <w:ilvl w:val="0"/>
          <w:numId w:val="2"/>
        </w:numPr>
        <w:spacing w:after="60" w:line="260"/>
      </w:pPr>
      <w:r>
        <w:rPr>
          <w:rFonts w:ascii="Calibri" w:cs="Calibri" w:eastAsia="Calibri" w:hAnsi="Calibri"/>
          <w:color w:val="334155"/>
          <w:sz w:val="21"/>
          <w:szCs w:val="21"/>
        </w:rPr>
        <w:t xml:space="preserve">Freeze Object / Link / Action Types v0.1 and URI policy.</w:t>
      </w:r>
    </w:p>
    <w:p>
      <w:pPr>
        <w:pStyle w:val="ListParagraph"/>
        <w:numPr>
          <w:ilvl w:val="0"/>
          <w:numId w:val="2"/>
        </w:numPr>
        <w:spacing w:after="60" w:line="260"/>
      </w:pPr>
      <w:r>
        <w:rPr>
          <w:rFonts w:ascii="Calibri" w:cs="Calibri" w:eastAsia="Calibri" w:hAnsi="Calibri"/>
          <w:color w:val="334155"/>
          <w:sz w:val="21"/>
          <w:szCs w:val="21"/>
        </w:rPr>
        <w:t xml:space="preserve">Stand up tenant model, markings, and identity.</w:t>
      </w:r>
    </w:p>
    <w:p>
      <w:pPr>
        <w:pStyle w:val="ListParagraph"/>
        <w:numPr>
          <w:ilvl w:val="0"/>
          <w:numId w:val="2"/>
        </w:numPr>
        <w:spacing w:after="60" w:line="260"/>
      </w:pPr>
      <w:r>
        <w:rPr>
          <w:rFonts w:ascii="Calibri" w:cs="Calibri" w:eastAsia="Calibri" w:hAnsi="Calibri"/>
          <w:color w:val="334155"/>
          <w:sz w:val="21"/>
          <w:szCs w:val="21"/>
        </w:rPr>
        <w:t xml:space="preserve">Instrument master + identifier graph + first custodian position feed.</w:t>
      </w:r>
    </w:p>
    <w:p>
      <w:pPr>
        <w:pStyle w:val="ListParagraph"/>
        <w:numPr>
          <w:ilvl w:val="0"/>
          <w:numId w:val="2"/>
        </w:numPr>
        <w:spacing w:after="60" w:line="260"/>
      </w:pPr>
      <w:r>
        <w:rPr>
          <w:rFonts w:ascii="Calibri" w:cs="Calibri" w:eastAsia="Calibri" w:hAnsi="Calibri"/>
          <w:color w:val="334155"/>
          <w:sz w:val="21"/>
          <w:szCs w:val="21"/>
        </w:rPr>
        <w:t xml:space="preserve">IBOR posting engine with idempotent Transaction → Position.</w:t>
      </w:r>
    </w:p>
    <w:p>
      <w:pPr>
        <w:pStyle w:val="Heading2"/>
        <w:spacing w:after="120" w:before="280"/>
      </w:pPr>
      <w:r>
        <w:rPr>
          <w:rFonts w:ascii="Calibri" w:cs="Calibri" w:eastAsia="Calibri" w:hAnsi="Calibri"/>
          <w:b/>
          <w:bCs/>
          <w:color w:val="0E6B6B"/>
          <w:sz w:val="26"/>
          <w:szCs w:val="26"/>
        </w:rPr>
        <w:t xml:space="preserve">Phase 1 — See the book (weeks 7–14)</w:t>
      </w:r>
    </w:p>
    <w:p>
      <w:pPr>
        <w:pStyle w:val="ListParagraph"/>
        <w:numPr>
          <w:ilvl w:val="0"/>
          <w:numId w:val="2"/>
        </w:numPr>
        <w:spacing w:after="60" w:line="260"/>
      </w:pPr>
      <w:r>
        <w:rPr>
          <w:rFonts w:ascii="Calibri" w:cs="Calibri" w:eastAsia="Calibri" w:hAnsi="Calibri"/>
          <w:color w:val="334155"/>
          <w:sz w:val="21"/>
          <w:szCs w:val="21"/>
        </w:rPr>
        <w:t xml:space="preserve">Holdings workbench, cash ladder, look-through for listed funds.</w:t>
      </w:r>
    </w:p>
    <w:p>
      <w:pPr>
        <w:pStyle w:val="ListParagraph"/>
        <w:numPr>
          <w:ilvl w:val="0"/>
          <w:numId w:val="2"/>
        </w:numPr>
        <w:spacing w:after="60" w:line="260"/>
      </w:pPr>
      <w:r>
        <w:rPr>
          <w:rFonts w:ascii="Calibri" w:cs="Calibri" w:eastAsia="Calibri" w:hAnsi="Calibri"/>
          <w:color w:val="334155"/>
          <w:sz w:val="21"/>
          <w:szCs w:val="21"/>
        </w:rPr>
        <w:t xml:space="preserve">Valuation pipeline and recon against one custodian.</w:t>
      </w:r>
    </w:p>
    <w:p>
      <w:pPr>
        <w:pStyle w:val="ListParagraph"/>
        <w:numPr>
          <w:ilvl w:val="0"/>
          <w:numId w:val="2"/>
        </w:numPr>
        <w:spacing w:after="60" w:line="260"/>
      </w:pPr>
      <w:r>
        <w:rPr>
          <w:rFonts w:ascii="Calibri" w:cs="Calibri" w:eastAsia="Calibri" w:hAnsi="Calibri"/>
          <w:color w:val="334155"/>
          <w:sz w:val="21"/>
          <w:szCs w:val="21"/>
        </w:rPr>
        <w:t xml:space="preserve">Mesta Marquee API: assets, holdings, data.</w:t>
      </w:r>
    </w:p>
    <w:p>
      <w:pPr>
        <w:pStyle w:val="ListParagraph"/>
        <w:numPr>
          <w:ilvl w:val="0"/>
          <w:numId w:val="2"/>
        </w:numPr>
        <w:spacing w:after="60" w:line="260"/>
      </w:pPr>
      <w:r>
        <w:rPr>
          <w:rFonts w:ascii="Calibri" w:cs="Calibri" w:eastAsia="Calibri" w:hAnsi="Calibri"/>
          <w:color w:val="334155"/>
          <w:sz w:val="21"/>
          <w:szCs w:val="21"/>
        </w:rPr>
        <w:t xml:space="preserve">Read-only Copilot on entitled objects.</w:t>
      </w:r>
    </w:p>
    <w:p>
      <w:pPr>
        <w:pStyle w:val="Heading2"/>
        <w:spacing w:after="120" w:before="280"/>
      </w:pPr>
      <w:r>
        <w:rPr>
          <w:rFonts w:ascii="Calibri" w:cs="Calibri" w:eastAsia="Calibri" w:hAnsi="Calibri"/>
          <w:b/>
          <w:bCs/>
          <w:color w:val="0E6B6B"/>
          <w:sz w:val="26"/>
          <w:szCs w:val="26"/>
        </w:rPr>
        <w:t xml:space="preserve">Phase 2 — Control the book (weeks 15–26)</w:t>
      </w:r>
    </w:p>
    <w:p>
      <w:pPr>
        <w:pStyle w:val="ListParagraph"/>
        <w:numPr>
          <w:ilvl w:val="0"/>
          <w:numId w:val="2"/>
        </w:numPr>
        <w:spacing w:after="60" w:line="260"/>
      </w:pPr>
      <w:r>
        <w:rPr>
          <w:rFonts w:ascii="Calibri" w:cs="Calibri" w:eastAsia="Calibri" w:hAnsi="Calibri"/>
          <w:color w:val="334155"/>
          <w:sz w:val="21"/>
          <w:szCs w:val="21"/>
        </w:rPr>
        <w:t xml:space="preserve">Guideline workbench, pre-trade on CreateOrder.</w:t>
      </w:r>
    </w:p>
    <w:p>
      <w:pPr>
        <w:pStyle w:val="ListParagraph"/>
        <w:numPr>
          <w:ilvl w:val="0"/>
          <w:numId w:val="2"/>
        </w:numPr>
        <w:spacing w:after="60" w:line="260"/>
      </w:pPr>
      <w:r>
        <w:rPr>
          <w:rFonts w:ascii="Calibri" w:cs="Calibri" w:eastAsia="Calibri" w:hAnsi="Calibri"/>
          <w:color w:val="334155"/>
          <w:sz w:val="21"/>
          <w:szCs w:val="21"/>
        </w:rPr>
        <w:t xml:space="preserve">OMS happy path + one EMS adapter.</w:t>
      </w:r>
    </w:p>
    <w:p>
      <w:pPr>
        <w:pStyle w:val="ListParagraph"/>
        <w:numPr>
          <w:ilvl w:val="0"/>
          <w:numId w:val="2"/>
        </w:numPr>
        <w:spacing w:after="60" w:line="260"/>
      </w:pPr>
      <w:r>
        <w:rPr>
          <w:rFonts w:ascii="Calibri" w:cs="Calibri" w:eastAsia="Calibri" w:hAnsi="Calibri"/>
          <w:color w:val="334155"/>
          <w:sz w:val="21"/>
          <w:szCs w:val="21"/>
        </w:rPr>
        <w:t xml:space="preserve">Mesta Risk v0: exposures, VaR, two historical scenarios.</w:t>
      </w:r>
    </w:p>
    <w:p>
      <w:pPr>
        <w:pStyle w:val="ListParagraph"/>
        <w:numPr>
          <w:ilvl w:val="0"/>
          <w:numId w:val="2"/>
        </w:numPr>
        <w:spacing w:after="60" w:line="260"/>
      </w:pPr>
      <w:r>
        <w:rPr>
          <w:rFonts w:ascii="Calibri" w:cs="Calibri" w:eastAsia="Calibri" w:hAnsi="Calibri"/>
          <w:color w:val="334155"/>
          <w:sz w:val="21"/>
          <w:szCs w:val="21"/>
        </w:rPr>
        <w:t xml:space="preserve">Daily RiskRun production.</w:t>
      </w:r>
    </w:p>
    <w:p>
      <w:pPr>
        <w:pStyle w:val="Heading2"/>
        <w:spacing w:after="120" w:before="280"/>
      </w:pPr>
      <w:r>
        <w:rPr>
          <w:rFonts w:ascii="Calibri" w:cs="Calibri" w:eastAsia="Calibri" w:hAnsi="Calibri"/>
          <w:b/>
          <w:bCs/>
          <w:color w:val="0E6B6B"/>
          <w:sz w:val="26"/>
          <w:szCs w:val="26"/>
        </w:rPr>
        <w:t xml:space="preserve">Phase 3 — Whole portfolio (weeks 27–40)</w:t>
      </w:r>
    </w:p>
    <w:p>
      <w:pPr>
        <w:pStyle w:val="ListParagraph"/>
        <w:numPr>
          <w:ilvl w:val="0"/>
          <w:numId w:val="2"/>
        </w:numPr>
        <w:spacing w:after="60" w:line="260"/>
      </w:pPr>
      <w:r>
        <w:rPr>
          <w:rFonts w:ascii="Calibri" w:cs="Calibri" w:eastAsia="Calibri" w:hAnsi="Calibri"/>
          <w:color w:val="334155"/>
          <w:sz w:val="21"/>
          <w:szCs w:val="21"/>
        </w:rPr>
        <w:t xml:space="preserve">Private Commitment / Call / NAV.</w:t>
      </w:r>
    </w:p>
    <w:p>
      <w:pPr>
        <w:pStyle w:val="ListParagraph"/>
        <w:numPr>
          <w:ilvl w:val="0"/>
          <w:numId w:val="2"/>
        </w:numPr>
        <w:spacing w:after="60" w:line="260"/>
      </w:pPr>
      <w:r>
        <w:rPr>
          <w:rFonts w:ascii="Calibri" w:cs="Calibri" w:eastAsia="Calibri" w:hAnsi="Calibri"/>
          <w:color w:val="334155"/>
          <w:sz w:val="21"/>
          <w:szCs w:val="21"/>
        </w:rPr>
        <w:t xml:space="preserve">Liability object and simple ALM gap.</w:t>
      </w:r>
    </w:p>
    <w:p>
      <w:pPr>
        <w:pStyle w:val="ListParagraph"/>
        <w:numPr>
          <w:ilvl w:val="0"/>
          <w:numId w:val="2"/>
        </w:numPr>
        <w:spacing w:after="60" w:line="260"/>
      </w:pPr>
      <w:r>
        <w:rPr>
          <w:rFonts w:ascii="Calibri" w:cs="Calibri" w:eastAsia="Calibri" w:hAnsi="Calibri"/>
          <w:color w:val="334155"/>
          <w:sz w:val="21"/>
          <w:szCs w:val="21"/>
        </w:rPr>
        <w:t xml:space="preserve">Performance + official period lock.</w:t>
      </w:r>
    </w:p>
    <w:p>
      <w:pPr>
        <w:pStyle w:val="ListParagraph"/>
        <w:numPr>
          <w:ilvl w:val="0"/>
          <w:numId w:val="2"/>
        </w:numPr>
        <w:spacing w:after="60" w:line="260"/>
      </w:pPr>
      <w:r>
        <w:rPr>
          <w:rFonts w:ascii="Calibri" w:cs="Calibri" w:eastAsia="Calibri" w:hAnsi="Calibri"/>
          <w:color w:val="334155"/>
          <w:sz w:val="21"/>
          <w:szCs w:val="21"/>
        </w:rPr>
        <w:t xml:space="preserve">CreateReport + scheduled packs.</w:t>
      </w:r>
    </w:p>
    <w:p>
      <w:pPr>
        <w:pStyle w:val="ListParagraph"/>
        <w:numPr>
          <w:ilvl w:val="0"/>
          <w:numId w:val="2"/>
        </w:numPr>
        <w:spacing w:after="60" w:line="260"/>
      </w:pPr>
      <w:r>
        <w:rPr>
          <w:rFonts w:ascii="Calibri" w:cs="Calibri" w:eastAsia="Calibri" w:hAnsi="Calibri"/>
          <w:color w:val="334155"/>
          <w:sz w:val="21"/>
          <w:szCs w:val="21"/>
        </w:rPr>
        <w:t xml:space="preserve">Shared-service topology for a multi-entity pilot.</w:t>
      </w:r>
    </w:p>
    <w:p>
      <w:pPr>
        <w:pStyle w:val="Heading2"/>
        <w:spacing w:after="120" w:before="280"/>
      </w:pPr>
      <w:r>
        <w:rPr>
          <w:rFonts w:ascii="Calibri" w:cs="Calibri" w:eastAsia="Calibri" w:hAnsi="Calibri"/>
          <w:b/>
          <w:bCs/>
          <w:color w:val="0E6B6B"/>
          <w:sz w:val="26"/>
          <w:szCs w:val="26"/>
        </w:rPr>
        <w:t xml:space="preserve">Phase 4 — Operating system (weeks 41–52)</w:t>
      </w:r>
    </w:p>
    <w:p>
      <w:pPr>
        <w:pStyle w:val="ListParagraph"/>
        <w:numPr>
          <w:ilvl w:val="0"/>
          <w:numId w:val="2"/>
        </w:numPr>
        <w:spacing w:after="60" w:line="260"/>
      </w:pPr>
      <w:r>
        <w:rPr>
          <w:rFonts w:ascii="Calibri" w:cs="Calibri" w:eastAsia="Calibri" w:hAnsi="Calibri"/>
          <w:color w:val="334155"/>
          <w:sz w:val="21"/>
          <w:szCs w:val="21"/>
        </w:rPr>
        <w:t xml:space="preserve">Optimization and what-if as Actions.</w:t>
      </w:r>
    </w:p>
    <w:p>
      <w:pPr>
        <w:pStyle w:val="ListParagraph"/>
        <w:numPr>
          <w:ilvl w:val="0"/>
          <w:numId w:val="2"/>
        </w:numPr>
        <w:spacing w:after="60" w:line="260"/>
      </w:pPr>
      <w:r>
        <w:rPr>
          <w:rFonts w:ascii="Calibri" w:cs="Calibri" w:eastAsia="Calibri" w:hAnsi="Calibri"/>
          <w:color w:val="334155"/>
          <w:sz w:val="21"/>
          <w:szCs w:val="21"/>
        </w:rPr>
        <w:t xml:space="preserve">Copilot allowed to draft orders and reports under approval.</w:t>
      </w:r>
    </w:p>
    <w:p>
      <w:pPr>
        <w:pStyle w:val="ListParagraph"/>
        <w:numPr>
          <w:ilvl w:val="0"/>
          <w:numId w:val="2"/>
        </w:numPr>
        <w:spacing w:after="60" w:line="260"/>
      </w:pPr>
      <w:r>
        <w:rPr>
          <w:rFonts w:ascii="Calibri" w:cs="Calibri" w:eastAsia="Calibri" w:hAnsi="Calibri"/>
          <w:color w:val="334155"/>
          <w:sz w:val="21"/>
          <w:szCs w:val="21"/>
        </w:rPr>
        <w:t xml:space="preserve">ABOR integration or Mesta Ledger official books.</w:t>
      </w:r>
    </w:p>
    <w:p>
      <w:pPr>
        <w:pStyle w:val="ListParagraph"/>
        <w:numPr>
          <w:ilvl w:val="0"/>
          <w:numId w:val="2"/>
        </w:numPr>
        <w:spacing w:after="60" w:line="260"/>
      </w:pPr>
      <w:r>
        <w:rPr>
          <w:rFonts w:ascii="Calibri" w:cs="Calibri" w:eastAsia="Calibri" w:hAnsi="Calibri"/>
          <w:color w:val="334155"/>
          <w:sz w:val="21"/>
          <w:szCs w:val="21"/>
        </w:rPr>
        <w:t xml:space="preserve">Digital-asset instrument types on the same IBOR.</w:t>
      </w:r>
    </w:p>
    <w:p>
      <w:pPr>
        <w:pStyle w:val="ListParagraph"/>
        <w:numPr>
          <w:ilvl w:val="0"/>
          <w:numId w:val="2"/>
        </w:numPr>
        <w:spacing w:after="60" w:line="260"/>
      </w:pPr>
      <w:r>
        <w:rPr>
          <w:rFonts w:ascii="Calibri" w:cs="Calibri" w:eastAsia="Calibri" w:hAnsi="Calibri"/>
          <w:color w:val="334155"/>
          <w:sz w:val="21"/>
          <w:szCs w:val="21"/>
        </w:rPr>
        <w:t xml:space="preserve">Independent risk package for asset-owner oversight of external managers.</w:t>
      </w:r>
    </w:p>
    <w:p>
      <w:pPr>
        <w:pStyle w:val="Heading1"/>
        <w:pBdr>
          <w:bottom w:val="single" w:color="0E6B6B" w:sz="12" w:space="6"/>
        </w:pBdr>
        <w:spacing w:after="160" w:before="360"/>
      </w:pPr>
      <w:r>
        <w:rPr>
          <w:rFonts w:ascii="Calibri" w:cs="Calibri" w:eastAsia="Calibri" w:hAnsi="Calibri"/>
          <w:b/>
          <w:bCs/>
          <w:color w:val="0B1F3A"/>
          <w:sz w:val="32"/>
          <w:szCs w:val="32"/>
        </w:rPr>
        <w:t xml:space="preserve">14. Competency questions the ontology must answer</w:t>
      </w:r>
    </w:p>
    <w:p>
      <w:pPr>
        <w:spacing w:after="120" w:before="0" w:line="276"/>
      </w:pPr>
      <w:r>
        <w:rPr>
          <w:rFonts w:ascii="Calibri" w:cs="Calibri" w:eastAsia="Calibri" w:hAnsi="Calibri"/>
          <w:b w:val="false"/>
          <w:bCs w:val="false"/>
          <w:i w:val="false"/>
          <w:iCs w:val="false"/>
          <w:color w:val="334155"/>
          <w:sz w:val="22"/>
          <w:szCs w:val="22"/>
        </w:rPr>
        <w:t xml:space="preserve">If the graph cannot answer these without a one-off extract, the schema is not done.</w:t>
      </w:r>
    </w:p>
    <w:p>
      <w:pPr>
        <w:pStyle w:val="ListParagraph"/>
        <w:numPr>
          <w:ilvl w:val="0"/>
          <w:numId w:val="2"/>
        </w:numPr>
        <w:spacing w:after="60" w:line="260"/>
      </w:pPr>
      <w:r>
        <w:rPr>
          <w:rFonts w:ascii="Calibri" w:cs="Calibri" w:eastAsia="Calibri" w:hAnsi="Calibri"/>
          <w:color w:val="334155"/>
          <w:sz w:val="21"/>
          <w:szCs w:val="21"/>
        </w:rPr>
        <w:t xml:space="preserve">What is the look-through equity beta of Pool 3 after today’s fills?</w:t>
      </w:r>
    </w:p>
    <w:p>
      <w:pPr>
        <w:pStyle w:val="ListParagraph"/>
        <w:numPr>
          <w:ilvl w:val="0"/>
          <w:numId w:val="2"/>
        </w:numPr>
        <w:spacing w:after="60" w:line="260"/>
      </w:pPr>
      <w:r>
        <w:rPr>
          <w:rFonts w:ascii="Calibri" w:cs="Calibri" w:eastAsia="Calibri" w:hAnsi="Calibri"/>
          <w:color w:val="334155"/>
          <w:sz w:val="21"/>
          <w:szCs w:val="21"/>
        </w:rPr>
        <w:t xml:space="preserve">Which Guidelines would fail if we lift duration by one year in the LDI sleeve?</w:t>
      </w:r>
    </w:p>
    <w:p>
      <w:pPr>
        <w:pStyle w:val="ListParagraph"/>
        <w:numPr>
          <w:ilvl w:val="0"/>
          <w:numId w:val="2"/>
        </w:numPr>
        <w:spacing w:after="60" w:line="260"/>
      </w:pPr>
      <w:r>
        <w:rPr>
          <w:rFonts w:ascii="Calibri" w:cs="Calibri" w:eastAsia="Calibri" w:hAnsi="Calibri"/>
          <w:color w:val="334155"/>
          <w:sz w:val="21"/>
          <w:szCs w:val="21"/>
        </w:rPr>
        <w:t xml:space="preserve">How much unfunded private commitment hits cash in the next four quarters?</w:t>
      </w:r>
    </w:p>
    <w:p>
      <w:pPr>
        <w:pStyle w:val="ListParagraph"/>
        <w:numPr>
          <w:ilvl w:val="0"/>
          <w:numId w:val="2"/>
        </w:numPr>
        <w:spacing w:after="60" w:line="260"/>
      </w:pPr>
      <w:r>
        <w:rPr>
          <w:rFonts w:ascii="Calibri" w:cs="Calibri" w:eastAsia="Calibri" w:hAnsi="Calibri"/>
          <w:color w:val="334155"/>
          <w:sz w:val="21"/>
          <w:szCs w:val="21"/>
        </w:rPr>
        <w:t xml:space="preserve">What is the single-name issuer concentration after collapsing SPVs and funds?</w:t>
      </w:r>
    </w:p>
    <w:p>
      <w:pPr>
        <w:pStyle w:val="ListParagraph"/>
        <w:numPr>
          <w:ilvl w:val="0"/>
          <w:numId w:val="2"/>
        </w:numPr>
        <w:spacing w:after="60" w:line="260"/>
      </w:pPr>
      <w:r>
        <w:rPr>
          <w:rFonts w:ascii="Calibri" w:cs="Calibri" w:eastAsia="Calibri" w:hAnsi="Calibri"/>
          <w:color w:val="334155"/>
          <w:sz w:val="21"/>
          <w:szCs w:val="21"/>
        </w:rPr>
        <w:t xml:space="preserve">Which Breaches are open, material, and unwaived across all affiliates?</w:t>
      </w:r>
    </w:p>
    <w:p>
      <w:pPr>
        <w:pStyle w:val="ListParagraph"/>
        <w:numPr>
          <w:ilvl w:val="0"/>
          <w:numId w:val="2"/>
        </w:numPr>
        <w:spacing w:after="60" w:line="260"/>
      </w:pPr>
      <w:r>
        <w:rPr>
          <w:rFonts w:ascii="Calibri" w:cs="Calibri" w:eastAsia="Calibri" w:hAnsi="Calibri"/>
          <w:color w:val="334155"/>
          <w:sz w:val="21"/>
          <w:szCs w:val="21"/>
        </w:rPr>
        <w:t xml:space="preserve">Does the official locked return for SMA X reconcile to IBOR within tolerance?</w:t>
      </w:r>
    </w:p>
    <w:p>
      <w:pPr>
        <w:pStyle w:val="ListParagraph"/>
        <w:numPr>
          <w:ilvl w:val="0"/>
          <w:numId w:val="2"/>
        </w:numPr>
        <w:spacing w:after="60" w:line="260"/>
      </w:pPr>
      <w:r>
        <w:rPr>
          <w:rFonts w:ascii="Calibri" w:cs="Calibri" w:eastAsia="Calibri" w:hAnsi="Calibri"/>
          <w:color w:val="334155"/>
          <w:sz w:val="21"/>
          <w:szCs w:val="21"/>
        </w:rPr>
        <w:t xml:space="preserve">What happens to funding ratio if we replay the 2020 credit-spread path on assets and liabilities together?</w:t>
      </w:r>
    </w:p>
    <w:p>
      <w:pPr>
        <w:pStyle w:val="ListParagraph"/>
        <w:numPr>
          <w:ilvl w:val="0"/>
          <w:numId w:val="2"/>
        </w:numPr>
        <w:spacing w:after="60" w:line="260"/>
      </w:pPr>
      <w:r>
        <w:rPr>
          <w:rFonts w:ascii="Calibri" w:cs="Calibri" w:eastAsia="Calibri" w:hAnsi="Calibri"/>
          <w:color w:val="334155"/>
          <w:sz w:val="21"/>
          <w:szCs w:val="21"/>
        </w:rPr>
        <w:t xml:space="preserve">Which Actions did Copilot propose this week that a human rejected, and why?</w:t>
      </w:r>
    </w:p>
    <w:p>
      <w:pPr>
        <w:pStyle w:val="Heading1"/>
        <w:pBdr>
          <w:bottom w:val="single" w:color="0E6B6B" w:sz="12" w:space="6"/>
        </w:pBdr>
        <w:spacing w:after="160" w:before="360"/>
      </w:pPr>
      <w:r>
        <w:rPr>
          <w:rFonts w:ascii="Calibri" w:cs="Calibri" w:eastAsia="Calibri" w:hAnsi="Calibri"/>
          <w:b/>
          <w:bCs/>
          <w:color w:val="0B1F3A"/>
          <w:sz w:val="32"/>
          <w:szCs w:val="32"/>
        </w:rPr>
        <w:t xml:space="preserve">15. Explicit non-goals</w:t>
      </w:r>
    </w:p>
    <w:p>
      <w:pPr>
        <w:pStyle w:val="ListParagraph"/>
        <w:numPr>
          <w:ilvl w:val="0"/>
          <w:numId w:val="2"/>
        </w:numPr>
        <w:spacing w:after="60" w:line="260"/>
      </w:pPr>
      <w:r>
        <w:rPr>
          <w:rFonts w:ascii="Calibri" w:cs="Calibri" w:eastAsia="Calibri" w:hAnsi="Calibri"/>
          <w:color w:val="334155"/>
          <w:sz w:val="21"/>
          <w:szCs w:val="21"/>
        </w:rPr>
        <w:t xml:space="preserve">Do not clone BlackRock factor models, Aladdin UI chrome, or confidential client lists from the 2016 deck.</w:t>
      </w:r>
    </w:p>
    <w:p>
      <w:pPr>
        <w:pStyle w:val="ListParagraph"/>
        <w:numPr>
          <w:ilvl w:val="0"/>
          <w:numId w:val="2"/>
        </w:numPr>
        <w:spacing w:after="60" w:line="260"/>
      </w:pPr>
      <w:r>
        <w:rPr>
          <w:rFonts w:ascii="Calibri" w:cs="Calibri" w:eastAsia="Calibri" w:hAnsi="Calibri"/>
          <w:color w:val="334155"/>
          <w:sz w:val="21"/>
          <w:szCs w:val="21"/>
        </w:rPr>
        <w:t xml:space="preserve">Do not build a general data lake and hope a PMS appears.</w:t>
      </w:r>
    </w:p>
    <w:p>
      <w:pPr>
        <w:pStyle w:val="ListParagraph"/>
        <w:numPr>
          <w:ilvl w:val="0"/>
          <w:numId w:val="2"/>
        </w:numPr>
        <w:spacing w:after="60" w:line="260"/>
      </w:pPr>
      <w:r>
        <w:rPr>
          <w:rFonts w:ascii="Calibri" w:cs="Calibri" w:eastAsia="Calibri" w:hAnsi="Calibri"/>
          <w:color w:val="334155"/>
          <w:sz w:val="21"/>
          <w:szCs w:val="21"/>
        </w:rPr>
        <w:t xml:space="preserve">Do not let notebooks define new measures that bypass the ontology.</w:t>
      </w:r>
    </w:p>
    <w:p>
      <w:pPr>
        <w:pStyle w:val="ListParagraph"/>
        <w:numPr>
          <w:ilvl w:val="0"/>
          <w:numId w:val="2"/>
        </w:numPr>
        <w:spacing w:after="60" w:line="260"/>
      </w:pPr>
      <w:r>
        <w:rPr>
          <w:rFonts w:ascii="Calibri" w:cs="Calibri" w:eastAsia="Calibri" w:hAnsi="Calibri"/>
          <w:color w:val="334155"/>
          <w:sz w:val="21"/>
          <w:szCs w:val="21"/>
        </w:rPr>
        <w:t xml:space="preserve">Do not give agents waiver or official-lock rights.</w:t>
      </w:r>
    </w:p>
    <w:p>
      <w:pPr>
        <w:pStyle w:val="ListParagraph"/>
        <w:numPr>
          <w:ilvl w:val="0"/>
          <w:numId w:val="2"/>
        </w:numPr>
        <w:spacing w:after="60" w:line="260"/>
      </w:pPr>
      <w:r>
        <w:rPr>
          <w:rFonts w:ascii="Calibri" w:cs="Calibri" w:eastAsia="Calibri" w:hAnsi="Calibri"/>
          <w:color w:val="334155"/>
          <w:sz w:val="21"/>
          <w:szCs w:val="21"/>
        </w:rPr>
        <w:t xml:space="preserve">Do not merge legal entities in software that are not merged in law.</w:t>
      </w:r>
    </w:p>
    <w:p>
      <w:pPr>
        <w:pStyle w:val="ListParagraph"/>
        <w:numPr>
          <w:ilvl w:val="0"/>
          <w:numId w:val="2"/>
        </w:numPr>
        <w:spacing w:after="60" w:line="260"/>
      </w:pPr>
      <w:r>
        <w:rPr>
          <w:rFonts w:ascii="Calibri" w:cs="Calibri" w:eastAsia="Calibri" w:hAnsi="Calibri"/>
          <w:color w:val="334155"/>
          <w:sz w:val="21"/>
          <w:szCs w:val="21"/>
        </w:rPr>
        <w:t xml:space="preserve">Do not ship screens for concepts that have no Object Type.</w:t>
      </w:r>
    </w:p>
    <w:p>
      <w:pPr>
        <w:pStyle w:val="Heading1"/>
        <w:pBdr>
          <w:bottom w:val="single" w:color="0E6B6B" w:sz="12" w:space="6"/>
        </w:pBdr>
        <w:spacing w:after="160" w:before="360"/>
      </w:pPr>
      <w:r>
        <w:rPr>
          <w:rFonts w:ascii="Calibri" w:cs="Calibri" w:eastAsia="Calibri" w:hAnsi="Calibri"/>
          <w:b/>
          <w:bCs/>
          <w:color w:val="0B1F3A"/>
          <w:sz w:val="32"/>
          <w:szCs w:val="32"/>
        </w:rPr>
        <w:t xml:space="preserve">16. Source material used</w:t>
      </w:r>
    </w:p>
    <w:p>
      <w:pPr>
        <w:pStyle w:val="ListParagraph"/>
        <w:numPr>
          <w:ilvl w:val="0"/>
          <w:numId w:val="2"/>
        </w:numPr>
        <w:spacing w:after="60" w:line="260"/>
      </w:pPr>
      <w:r>
        <w:rPr>
          <w:rFonts w:ascii="Calibri" w:cs="Calibri" w:eastAsia="Calibri" w:hAnsi="Calibri"/>
          <w:color w:val="334155"/>
          <w:sz w:val="21"/>
          <w:szCs w:val="21"/>
        </w:rPr>
        <w:t xml:space="preserve">Aladdin Overview — Local Government Pension Scheme, Welsh Funds, BlackRock, July 2016 (project artifact). Operating-system claim, module list, single-environment diagram, pooling drivers, shared-service case study.</w:t>
      </w:r>
    </w:p>
    <w:p>
      <w:pPr>
        <w:pStyle w:val="ListParagraph"/>
        <w:numPr>
          <w:ilvl w:val="0"/>
          <w:numId w:val="2"/>
        </w:numPr>
        <w:spacing w:after="60" w:line="260"/>
      </w:pPr>
      <w:r>
        <w:rPr>
          <w:rFonts w:ascii="Calibri" w:cs="Calibri" w:eastAsia="Calibri" w:hAnsi="Calibri"/>
          <w:color w:val="334155"/>
          <w:sz w:val="21"/>
          <w:szCs w:val="21"/>
        </w:rPr>
        <w:t xml:space="preserve">Public Aladdin product descriptions 2024–2026: Aladdin Risk, Whole Portfolio, Accounting, IBOR programs, Copilot, private markets via eFront.</w:t>
      </w:r>
    </w:p>
    <w:p>
      <w:pPr>
        <w:pStyle w:val="ListParagraph"/>
        <w:numPr>
          <w:ilvl w:val="0"/>
          <w:numId w:val="2"/>
        </w:numPr>
        <w:spacing w:after="60" w:line="260"/>
      </w:pPr>
      <w:r>
        <w:rPr>
          <w:rFonts w:ascii="Calibri" w:cs="Calibri" w:eastAsia="Calibri" w:hAnsi="Calibri"/>
          <w:color w:val="334155"/>
          <w:sz w:val="21"/>
          <w:szCs w:val="21"/>
        </w:rPr>
        <w:t xml:space="preserve">Marquee Developer docs in this project: Get an asset, Get data, Create a report — resource grain, scopes, entitlements, measures.</w:t>
      </w:r>
    </w:p>
    <w:p>
      <w:pPr>
        <w:pStyle w:val="ListParagraph"/>
        <w:numPr>
          <w:ilvl w:val="0"/>
          <w:numId w:val="2"/>
        </w:numPr>
        <w:spacing w:after="60" w:line="260"/>
      </w:pPr>
      <w:r>
        <w:rPr>
          <w:rFonts w:ascii="Calibri" w:cs="Calibri" w:eastAsia="Calibri" w:hAnsi="Calibri"/>
          <w:color w:val="334155"/>
          <w:sz w:val="21"/>
          <w:szCs w:val="21"/>
        </w:rPr>
        <w:t xml:space="preserve">RDB-to-OWL transformation paper in this project — lifting relational books into classes and properties.</w:t>
      </w:r>
    </w:p>
    <w:p>
      <w:pPr>
        <w:pStyle w:val="ListParagraph"/>
        <w:numPr>
          <w:ilvl w:val="0"/>
          <w:numId w:val="2"/>
        </w:numPr>
        <w:spacing w:after="60" w:line="260"/>
      </w:pPr>
      <w:r>
        <w:rPr>
          <w:rFonts w:ascii="Calibri" w:cs="Calibri" w:eastAsia="Calibri" w:hAnsi="Calibri"/>
          <w:color w:val="334155"/>
          <w:sz w:val="21"/>
          <w:szCs w:val="21"/>
        </w:rPr>
        <w:t xml:space="preserve">Concept-Centric Software Development (Palantir / Essence of Software) — concept inventory as the way the platform is built.</w:t>
      </w:r>
    </w:p>
    <w:p>
      <w:pPr>
        <w:pStyle w:val="ListParagraph"/>
        <w:numPr>
          <w:ilvl w:val="0"/>
          <w:numId w:val="2"/>
        </w:numPr>
        <w:spacing w:after="60" w:line="260"/>
      </w:pPr>
      <w:r>
        <w:rPr>
          <w:rFonts w:ascii="Calibri" w:cs="Calibri" w:eastAsia="Calibri" w:hAnsi="Calibri"/>
          <w:color w:val="334155"/>
          <w:sz w:val="21"/>
          <w:szCs w:val="21"/>
        </w:rPr>
        <w:t xml:space="preserve">Internal platform skills: Ontology Administrator, Architect, Developer; Data Steward markings; AIP agent governance; OAG.</w:t>
      </w:r>
    </w:p>
    <w:p>
      <w:pPr>
        <w:spacing w:after="200"/>
      </w:pPr>
    </w:p>
    <w:p>
      <w:pPr>
        <w:spacing w:after="120" w:before="0" w:line="276"/>
      </w:pPr>
      <w:r>
        <w:rPr>
          <w:rFonts w:ascii="Calibri" w:cs="Calibri" w:eastAsia="Calibri" w:hAnsi="Calibri"/>
          <w:b w:val="false"/>
          <w:bCs w:val="false"/>
          <w:i/>
          <w:iCs/>
          <w:color w:val="334155"/>
          <w:sz w:val="22"/>
          <w:szCs w:val="22"/>
        </w:rPr>
        <w:t xml:space="preserve">MESTA-ASSET is the Aladdin idea rebuilt so the book, the rules, and the actions are inspectable, governable, and extensible. That is the recreation. The next concrete artifact after this blueprint is the v0.1 ontology package: OWL/JSON-LD for Object Types, SHACL for invariants, and OpenAPI for the Marquee-style surface.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8"/>
      </w:pBdr>
      <w:spacing w:before="80"/>
    </w:pPr>
    <w:r>
      <w:rPr>
        <w:rFonts w:ascii="Calibri" w:cs="Calibri" w:eastAsia="Calibri" w:hAnsi="Calibri"/>
        <w:color w:val="64748B"/>
        <w:sz w:val="16"/>
        <w:szCs w:val="16"/>
      </w:rPr>
      <w:t xml:space="preserve">Confidential  ·  Recreated from Aladdin operating model  ·  Not affiliated with BlackRock  ·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B6B" w:sz="8" w:space="6"/>
      </w:pBdr>
      <w:spacing w:after="80"/>
    </w:pPr>
    <w:r>
      <w:rPr>
        <w:rFonts w:ascii="Calibri" w:cs="Calibri" w:eastAsia="Calibri" w:hAnsi="Calibri"/>
        <w:b/>
        <w:bCs/>
        <w:color w:val="0B1F3A"/>
        <w:sz w:val="18"/>
        <w:szCs w:val="18"/>
      </w:rPr>
      <w:t xml:space="preserve">MESTA-ASSET</w:t>
    </w:r>
    <w:r>
      <w:rPr>
        <w:rFonts w:ascii="Calibri" w:cs="Calibri" w:eastAsia="Calibri" w:hAnsi="Calibri"/>
        <w:color w:val="64748B"/>
        <w:sz w:val="18"/>
        <w:szCs w:val="18"/>
      </w:rPr>
      <w:t xml:space="preserve">  ·  Operating System for Investment Organizations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abstractNum w:abstractNumId="5"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E6B6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B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2026-09-21T08:22:12.692Z</dcterms:created>
  <dcterms:modified xsi:type="dcterms:W3CDTF">2026-09-21T08:22:12.693Z</dcterms:modified>
</cp:coreProperties>
</file>

<file path=docProps/custom.xml><?xml version="1.0" encoding="utf-8"?>
<Properties xmlns="http://schemas.openxmlformats.org/officeDocument/2006/custom-properties" xmlns:vt="http://schemas.openxmlformats.org/officeDocument/2006/docPropsVTypes"/>
</file>