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罗斯转换计算器 V1.3 最终完整执行手册（全链路整合版）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用户需将最终执行手册生成可保存文档，我会确保内容完整，涵盖此前讨论要点，同时保证格式清晰，方便用户复制保存。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罗斯转换计算器 V1.3 最终完整执行手册（全链路整合版）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</w:t>
      </w:r>
      <w:r>
        <w:rPr>
          <w:rFonts w:eastAsia="等线" w:ascii="Arial" w:cs="Arial" w:hAnsi="Arial"/>
          <w:sz w:val="22"/>
        </w:rPr>
        <w:t>：1.3（最终可执行版）</w:t>
        <w:br/>
      </w:r>
      <w:r>
        <w:rPr>
          <w:rFonts w:eastAsia="等线" w:ascii="Arial" w:cs="Arial" w:hAnsi="Arial"/>
          <w:b w:val="true"/>
          <w:sz w:val="22"/>
        </w:rPr>
        <w:t>日期</w:t>
      </w:r>
      <w:r>
        <w:rPr>
          <w:rFonts w:eastAsia="等线" w:ascii="Arial" w:cs="Arial" w:hAnsi="Arial"/>
          <w:sz w:val="22"/>
        </w:rPr>
        <w:t>：2026 年 5 月 30 日</w:t>
        <w:br/>
      </w:r>
      <w:r>
        <w:rPr>
          <w:rFonts w:eastAsia="等线" w:ascii="Arial" w:cs="Arial" w:hAnsi="Arial"/>
          <w:b w:val="true"/>
          <w:sz w:val="22"/>
        </w:rPr>
        <w:t>状态</w:t>
      </w:r>
      <w:r>
        <w:rPr>
          <w:rFonts w:eastAsia="等线" w:ascii="Arial" w:cs="Arial" w:hAnsi="Arial"/>
          <w:sz w:val="22"/>
        </w:rPr>
        <w:t>：可直接开发部署</w:t>
        <w:br/>
      </w: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：全球最快、最准、最纯粹的罗斯转换计算器</w:t>
        <w:br/>
      </w:r>
      <w:r>
        <w:rPr>
          <w:rFonts w:eastAsia="等线" w:ascii="Arial" w:cs="Arial" w:hAnsi="Arial"/>
          <w:b w:val="true"/>
          <w:sz w:val="22"/>
        </w:rPr>
        <w:t>技术栈</w:t>
      </w:r>
      <w:r>
        <w:rPr>
          <w:rFonts w:eastAsia="等线" w:ascii="Arial" w:cs="Arial" w:hAnsi="Arial"/>
          <w:sz w:val="22"/>
        </w:rPr>
        <w:t>：原生 JS + Tailwind CSS v3 + shadcn/ui + Vercel + GPT 5.5 Codex + Claude Opus 4.6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目录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项目核心定位与不可动摇铁律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 UI/UX 设计规范（基于美国用户习惯）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双模型交互式防幻觉架构（零错误保障）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专属开源 UI 组件定制方案（可直接复制）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全流程部署与上线指南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最终上线验收清单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一、项目核心定位与不可动摇铁律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核心使命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解决美国用户罗斯转换最痛的痛点：</w:t>
      </w:r>
      <w:r>
        <w:rPr>
          <w:rFonts w:eastAsia="等线" w:ascii="Arial" w:cs="Arial" w:hAnsi="Arial"/>
          <w:b w:val="true"/>
          <w:sz w:val="22"/>
        </w:rPr>
        <w:t>不知道转多少钱、不知道有多少隐藏成本、不知道怎么交税最划算</w:t>
      </w:r>
      <w:r>
        <w:rPr>
          <w:rFonts w:eastAsia="等线" w:ascii="Arial" w:cs="Arial" w:hAnsi="Arial"/>
          <w:sz w:val="22"/>
        </w:rPr>
        <w:t>。打造一个用户打开就能用、输入完就出结果、结果 100% 准确的纯工具网站。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绝对不可动摇的铁律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纯工具属性</w:t>
      </w:r>
      <w:r>
        <w:rPr>
          <w:rFonts w:eastAsia="等线" w:ascii="Arial" w:cs="Arial" w:hAnsi="Arial"/>
          <w:sz w:val="22"/>
        </w:rPr>
        <w:t>：页面上除了计算器本身，没有任何其他内容（无广告、无弹窗、无注册、无营销）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零数据收集</w:t>
      </w:r>
      <w:r>
        <w:rPr>
          <w:rFonts w:eastAsia="等线" w:ascii="Arial" w:cs="Arial" w:hAnsi="Arial"/>
          <w:sz w:val="22"/>
        </w:rPr>
        <w:t>：所有计算、语音处理均在浏览器本地完成，不存储任何用户信息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零幻觉保障</w:t>
      </w:r>
      <w:r>
        <w:rPr>
          <w:rFonts w:eastAsia="等线" w:ascii="Arial" w:cs="Arial" w:hAnsi="Arial"/>
          <w:sz w:val="22"/>
        </w:rPr>
        <w:t>：所有结果经过硬编码计算引擎 + 双模型交叉验证，错误率 &lt; 0.0001%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极致性能</w:t>
      </w:r>
      <w:r>
        <w:rPr>
          <w:rFonts w:eastAsia="等线" w:ascii="Arial" w:cs="Arial" w:hAnsi="Arial"/>
          <w:sz w:val="22"/>
        </w:rPr>
        <w:t>：首屏加载 &lt; 0.5 秒，输入即计算，无任何等待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去 AI 化</w:t>
      </w:r>
      <w:r>
        <w:rPr>
          <w:rFonts w:eastAsia="等线" w:ascii="Arial" w:cs="Arial" w:hAnsi="Arial"/>
          <w:sz w:val="22"/>
        </w:rPr>
        <w:t>：页面上绝对不出现 "AI、人工智能、智能" 等字样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专业可信</w:t>
      </w:r>
      <w:r>
        <w:rPr>
          <w:rFonts w:eastAsia="等线" w:ascii="Arial" w:cs="Arial" w:hAnsi="Arial"/>
          <w:sz w:val="22"/>
        </w:rPr>
        <w:t>：设计风格向 Fidelity、Schwab 等头部券商看齐，使用金融行业标准配色和组件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 核心差异化优势</w:t>
      </w:r>
      <w:bookmarkEnd w:id="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唯一包含 IRMAA 和 ACA 补贴损失计算</w:t>
      </w:r>
      <w:r>
        <w:rPr>
          <w:rFonts w:eastAsia="等线" w:ascii="Arial" w:cs="Arial" w:hAnsi="Arial"/>
          <w:sz w:val="22"/>
        </w:rPr>
        <w:t>：解决 80% 工具都忽略的最大隐藏成本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唯一提供税款支付方式对比</w:t>
      </w:r>
      <w:r>
        <w:rPr>
          <w:rFonts w:eastAsia="等线" w:ascii="Arial" w:cs="Arial" w:hAnsi="Arial"/>
          <w:sz w:val="22"/>
        </w:rPr>
        <w:t>：明确告诉用户用 IRA 还是外部资金交税更划算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唯一纯前端语音功能</w:t>
      </w:r>
      <w:r>
        <w:rPr>
          <w:rFonts w:eastAsia="等线" w:ascii="Arial" w:cs="Arial" w:hAnsi="Arial"/>
          <w:sz w:val="22"/>
        </w:rPr>
        <w:t>：不用打字就能输入数字，不用看屏幕就能听结果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唯一双模型交互式校验</w:t>
      </w:r>
      <w:r>
        <w:rPr>
          <w:rFonts w:eastAsia="等线" w:ascii="Arial" w:cs="Arial" w:hAnsi="Arial"/>
          <w:sz w:val="22"/>
        </w:rPr>
        <w:t>：从根本上杜绝 AI 幻觉，保证结果 100% 准确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唯一零数据收集承诺</w:t>
      </w:r>
      <w:r>
        <w:rPr>
          <w:rFonts w:eastAsia="等线" w:ascii="Arial" w:cs="Arial" w:hAnsi="Arial"/>
          <w:sz w:val="22"/>
        </w:rPr>
        <w:t>：彻底消除美国用户对财务隐私的担忧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二、最终 UI/UX 设计规范（基于美国用户习惯）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整体布局</w:t>
      </w:r>
      <w:bookmarkEnd w:id="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桌面端</w:t>
      </w:r>
      <w:r>
        <w:rPr>
          <w:rFonts w:eastAsia="等线" w:ascii="Arial" w:cs="Arial" w:hAnsi="Arial"/>
          <w:sz w:val="22"/>
        </w:rPr>
        <w:t>：严格 40% 输入区 + 60% 结果区左右分栏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移动端</w:t>
      </w:r>
      <w:r>
        <w:rPr>
          <w:rFonts w:eastAsia="等线" w:ascii="Arial" w:cs="Arial" w:hAnsi="Arial"/>
          <w:sz w:val="22"/>
        </w:rPr>
        <w:t>：自动切换为上下布局，输入在上，结果在下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首屏控制</w:t>
      </w:r>
      <w:r>
        <w:rPr>
          <w:rFonts w:eastAsia="等线" w:ascii="Arial" w:cs="Arial" w:hAnsi="Arial"/>
          <w:sz w:val="22"/>
        </w:rPr>
        <w:t>：1920×1080 分辨率下，所有核心输入和结果完全显示在首屏，无需滚动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导航栏</w:t>
      </w:r>
      <w:r>
        <w:rPr>
          <w:rFonts w:eastAsia="等线" w:ascii="Arial" w:cs="Arial" w:hAnsi="Arial"/>
          <w:sz w:val="22"/>
        </w:rPr>
        <w:t>：仅保留左侧网站标题 + 右侧 FAQ、隐私政策两个链接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信任栏</w:t>
      </w:r>
      <w:r>
        <w:rPr>
          <w:rFonts w:eastAsia="等线" w:ascii="Arial" w:cs="Arial" w:hAnsi="Arial"/>
          <w:sz w:val="22"/>
        </w:rPr>
        <w:t>：导航栏下方固定显示：</w:t>
      </w:r>
      <w:r>
        <w:rPr>
          <w:rFonts w:eastAsia="Consolas" w:ascii="Consolas" w:cs="Consolas" w:hAnsi="Consolas"/>
          <w:sz w:val="22"/>
          <w:shd w:fill="EFF0F1"/>
        </w:rPr>
        <w:t>🔒 100% Private • No Sign-Up • ✅ Updated for 2026 IRS Tax Laws • All calculations happen locally in your browser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输入区（极简 6 个字段）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严格按照以下顺序排列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Annual Income（当前年收入）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Filing Status（报税身份）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State of Residence（所在州）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Traditional IRA Balance（传统 IRA 余额）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Expected Annual Return（预期年收益率）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Expected Retirement Age（预期退休年龄）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输入框设计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高度 48px，圆角 4px，1px 浅灰色边框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数字输入框右侧仅保留语音输入图标（🎤）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下拉选择框使用原生样式，不做自定义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输入即计算，无需点击任何提交按钮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结果区（核心中的核心）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从上到下严格分为三个部分</w:t>
      </w:r>
      <w:r>
        <w:rPr>
          <w:rFonts w:eastAsia="等线" w:ascii="Arial" w:cs="Arial" w:hAnsi="Arial"/>
          <w:sz w:val="22"/>
        </w:rPr>
        <w:t>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2.3.1 顶部核心结论区（占 1/3 高度）</w:t>
      </w:r>
      <w:bookmarkEnd w:id="10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横向排列三个最大号字体（28-32px）核心数字：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10"/>
        <w:gridCol w:w="2610"/>
        <w:gridCol w:w="261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Optimal Conversion Amount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 Tax Due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Lifetime Tax Savings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$45,000（绿色）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$9,900（红色）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$127,500（绿色）</w:t>
            </w:r>
          </w:p>
        </w:tc>
      </w:tr>
    </w:tbl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数字下方一句话明确结论：</w:t>
      </w:r>
      <w:r>
        <w:rPr>
          <w:rFonts w:eastAsia="Consolas" w:ascii="Consolas" w:cs="Consolas" w:hAnsi="Consolas"/>
          <w:sz w:val="22"/>
          <w:shd w:fill="EFF0F1"/>
        </w:rPr>
        <w:t>Based on your information, you should convert $45,000 to Roth IRA this year.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结论右侧添加❓图标，点击弹出解释：</w:t>
      </w:r>
      <w:r>
        <w:rPr>
          <w:rFonts w:eastAsia="Consolas" w:ascii="Consolas" w:cs="Consolas" w:hAnsi="Consolas"/>
          <w:sz w:val="22"/>
          <w:shd w:fill="EFF0F1"/>
        </w:rPr>
        <w:t>Why this amount? Your current marginal tax rate is 22%, and you have $45,000 of room in this tax bracket. Converting more would push you into the 24% tax bracket.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2.3.2 中间成本明细区（占 1/3 高度）</w:t>
      </w:r>
      <w:bookmarkEnd w:id="11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用极简表格展示所有成本，默认展开不折叠：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Cost Item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Amount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Federal Income Tax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$7,200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State Income Tax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$1,800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IRMAA Medicare Surcharge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$600（红色）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ACA Subsidy Loss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$300（红色）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Total Tax Due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$9,900</w:t>
            </w:r>
          </w:p>
        </w:tc>
      </w:tr>
    </w:tbl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表格下方小字标注：</w:t>
      </w:r>
      <w:r>
        <w:rPr>
          <w:rFonts w:eastAsia="Consolas" w:ascii="Consolas" w:cs="Consolas" w:hAnsi="Consolas"/>
          <w:sz w:val="22"/>
          <w:shd w:fill="EFF0F1"/>
        </w:rPr>
        <w:t>* IRMAA and ACA subsidy loss are hidden costs that most calculators do not include.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2.3.3 底部对比与解读区（占 1/3 高度）</w:t>
      </w:r>
      <w:bookmarkEnd w:id="12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税款支付方式对比</w:t>
      </w:r>
      <w:r>
        <w:rPr>
          <w:rFonts w:eastAsia="等线" w:ascii="Arial" w:cs="Arial" w:hAnsi="Arial"/>
          <w:sz w:val="22"/>
        </w:rPr>
        <w:t>（并排两个卡片）：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 with IRA funds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 with external funds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 Value: $387,200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 Value: $412,800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Difference: -$25,600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Difference: +$25,600</w:t>
            </w:r>
          </w:p>
        </w:tc>
      </w:tr>
    </w:tbl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对比下方加粗结论：</w:t>
      </w:r>
      <w:r>
        <w:rPr>
          <w:rFonts w:eastAsia="Consolas" w:ascii="Consolas" w:cs="Consolas" w:hAnsi="Consolas"/>
          <w:sz w:val="22"/>
          <w:shd w:fill="EFF0F1"/>
        </w:rPr>
        <w:t>✅ Strongly recommend paying taxes with external funds to earn an extra $25,600 over your lifetime.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解读</w:t>
      </w:r>
      <w:r>
        <w:rPr>
          <w:rFonts w:eastAsia="等线" w:ascii="Arial" w:cs="Arial" w:hAnsi="Arial"/>
          <w:sz w:val="22"/>
        </w:rPr>
        <w:t>：3-5 个短句，不超过 100 个单词，禁止使用专业术语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最后添加标准免责声明：</w:t>
      </w:r>
      <w:r>
        <w:rPr>
          <w:rFonts w:eastAsia="Consolas" w:ascii="Consolas" w:cs="Consolas" w:hAnsi="Consolas"/>
          <w:sz w:val="22"/>
          <w:shd w:fill="EFF0F1"/>
        </w:rPr>
        <w:t>Disclaimer: All calculations are for educational purposes only. Consult a tax professional for personalized advice.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2.4 配色与组件规范</w:t>
      </w:r>
      <w:bookmarkEnd w:id="13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主色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#0A2463</w:t>
      </w:r>
      <w:r>
        <w:rPr>
          <w:rFonts w:eastAsia="等线" w:ascii="Arial" w:cs="Arial" w:hAnsi="Arial"/>
          <w:sz w:val="22"/>
        </w:rPr>
        <w:t>（深海军蓝，华尔街金融标准色）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 / 收益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#2E7D32</w:t>
      </w:r>
      <w:r>
        <w:rPr>
          <w:rFonts w:eastAsia="等线" w:ascii="Arial" w:cs="Arial" w:hAnsi="Arial"/>
          <w:sz w:val="22"/>
        </w:rPr>
        <w:t>（深绿色）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危险 / 成本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#C62828</w:t>
      </w:r>
      <w:r>
        <w:rPr>
          <w:rFonts w:eastAsia="等线" w:ascii="Arial" w:cs="Arial" w:hAnsi="Arial"/>
          <w:sz w:val="22"/>
        </w:rPr>
        <w:t>（深红色）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：纯白色</w:t>
      </w:r>
      <w:r>
        <w:rPr>
          <w:rFonts w:eastAsia="Consolas" w:ascii="Consolas" w:cs="Consolas" w:hAnsi="Consolas"/>
          <w:sz w:val="22"/>
          <w:shd w:fill="EFF0F1"/>
        </w:rPr>
        <w:t>#FFFFFF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文字</w:t>
      </w:r>
      <w:r>
        <w:rPr>
          <w:rFonts w:eastAsia="等线" w:ascii="Arial" w:cs="Arial" w:hAnsi="Arial"/>
          <w:sz w:val="22"/>
        </w:rPr>
        <w:t>：深灰色</w:t>
      </w:r>
      <w:r>
        <w:rPr>
          <w:rFonts w:eastAsia="Consolas" w:ascii="Consolas" w:cs="Consolas" w:hAnsi="Consolas"/>
          <w:sz w:val="22"/>
          <w:shd w:fill="EFF0F1"/>
        </w:rPr>
        <w:t>#1F2933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组件</w:t>
      </w:r>
      <w:r>
        <w:rPr>
          <w:rFonts w:eastAsia="等线" w:ascii="Arial" w:cs="Arial" w:hAnsi="Arial"/>
          <w:sz w:val="22"/>
        </w:rPr>
        <w:t>：所有卡片无阴影，仅 1px 浅灰色边框，圆角 4px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动画</w:t>
      </w:r>
      <w:r>
        <w:rPr>
          <w:rFonts w:eastAsia="等线" w:ascii="Arial" w:cs="Arial" w:hAnsi="Arial"/>
          <w:sz w:val="22"/>
        </w:rPr>
        <w:t>：所有动画时长≤0.2 秒，仅保留必要的淡入淡出效果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三、双模型交互式防幻觉架构（零错误保障）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3.1 双模型分工与强制交互流程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硬编码计算引擎生成100%准确的数字结果</w:t>
              <w:br/>
              <w:t>2. GPT 5.5 Codex生成代码和初步解读草稿 → 标注所有待校验数字</w:t>
              <w:br/>
              <w:t>3. Claude Opus 4.6逐行校验 → 发现错误 → 发送结构化纠错请求给GPT</w:t>
              <w:br/>
              <w:t>4. GPT根据纠错请求修改代码和解读 → 重新提交给Claude</w:t>
              <w:br/>
              <w:t>5. Claude再次校验 → 确认无误 → 输出"校验通过"</w:t>
              <w:br/>
            </w:r>
            <w:r>
              <w:rPr>
                <w:rFonts w:eastAsia="Consolas" w:ascii="Consolas" w:cs="Consolas" w:hAnsi="Consolas"/>
                <w:sz w:val="22"/>
              </w:rPr>
              <w:t>6. 只有当Claude明确输出"校验通过"后，才能输出最终代码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3.2 结构化纠错请求格式（必须严格使用）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【纠错请求】</w:t>
              <w:br/>
              <w:t>错误类型：[数字错误/逻辑错误/税务规则错误/表述错误]</w:t>
              <w:br/>
              <w:t>错误位置：[具体位置]</w:t>
              <w:br/>
              <w:t>错误内容：[GPT的错误内容]</w:t>
              <w:br/>
              <w:t>正确内容：[正确的内容]</w:t>
              <w:br/>
            </w:r>
            <w:r>
              <w:rPr>
                <w:rFonts w:eastAsia="Consolas" w:ascii="Consolas" w:cs="Consolas" w:hAnsi="Consolas"/>
                <w:sz w:val="22"/>
              </w:rPr>
              <w:t>请保留原有格式和语气，重新生成。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3.3 高风险场景特殊处理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当出现以下任何一种场景时，</w:t>
      </w:r>
      <w:r>
        <w:rPr>
          <w:rFonts w:eastAsia="等线" w:ascii="Arial" w:cs="Arial" w:hAnsi="Arial"/>
          <w:b w:val="true"/>
          <w:sz w:val="22"/>
        </w:rPr>
        <w:t>必须由 Claude Opus 4.6 直接生成解读并自我校验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转换金额 &gt; $100,000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 IRMAA 医保附加费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 ACA 医保补贴损失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结论为 "不建议进行罗斯转换"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用户询问税务法律相关问题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3.4 最终硬编码兜底规则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无论双模型如何交互，最终输出的代码必须包含以下硬编码规则引擎：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所有数字在输出给用户前，强制替换为硬编码计算引擎的准确值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所有绝对化词语自动过滤和替换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超出罗斯转换范围的建议自动拦截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标准免责声明自动追加到所有 AI 解读的末尾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四、专属开源 UI 组件定制方案（可直接复制）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基于 </w:t>
      </w:r>
      <w:r>
        <w:rPr>
          <w:rFonts w:eastAsia="等线" w:ascii="Arial" w:cs="Arial" w:hAnsi="Arial"/>
          <w:b w:val="true"/>
          <w:sz w:val="22"/>
        </w:rPr>
        <w:t>Tailwind CSS v3 + shadcn/ui</w:t>
      </w:r>
      <w:r>
        <w:rPr>
          <w:rFonts w:eastAsia="等线" w:ascii="Arial" w:cs="Arial" w:hAnsi="Arial"/>
          <w:sz w:val="22"/>
        </w:rPr>
        <w:t xml:space="preserve"> 定制，零额外依赖，可直接复制粘贴到你的项目中。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4.1 Tailwind CSS 最终配置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tailwind.config.js</w:t>
              <w:br/>
              <w:t>export default {</w:t>
              <w:br/>
              <w:t xml:space="preserve">  content: ["./index.html", "./src/**/*.{js,ts,jsx,tsx}"],</w:t>
              <w:br/>
              <w:t xml:space="preserve">  theme: {</w:t>
              <w:br/>
              <w:t xml:space="preserve">    extend: {</w:t>
              <w:br/>
              <w:t xml:space="preserve">      colors: {</w:t>
              <w:br/>
              <w:t xml:space="preserve">        primary: {</w:t>
              <w:br/>
              <w:t xml:space="preserve">          50: '#f0f4f8',</w:t>
              <w:br/>
              <w:t xml:space="preserve">          100: '#d9e2ec',</w:t>
              <w:br/>
              <w:t xml:space="preserve">          200: '#bcccdc',</w:t>
              <w:br/>
              <w:t xml:space="preserve">          300: '#9fb3c8',</w:t>
              <w:br/>
              <w:t xml:space="preserve">          400: '#829ab1',</w:t>
              <w:br/>
              <w:t xml:space="preserve">          500: '#627d98',</w:t>
              <w:br/>
              <w:t xml:space="preserve">          600: '#486581',</w:t>
              <w:br/>
              <w:t xml:space="preserve">          700: '#334e68',</w:t>
              <w:br/>
              <w:t xml:space="preserve">          800: '#243b53',</w:t>
              <w:br/>
              <w:t xml:space="preserve">          900: '#0A2463', // 主色</w:t>
              <w:br/>
              <w:t xml:space="preserve">        },</w:t>
              <w:br/>
              <w:t xml:space="preserve">        success: '#2E7D32',</w:t>
              <w:br/>
              <w:t xml:space="preserve">        danger: '#C62828',</w:t>
              <w:br/>
              <w:t xml:space="preserve">        neutral: {</w:t>
              <w:br/>
              <w:t xml:space="preserve">          50: '#F5F7FA',</w:t>
              <w:br/>
              <w:t xml:space="preserve">          100: '#E4E7EB',</w:t>
              <w:br/>
              <w:t xml:space="preserve">          200: '#CBD2D9',</w:t>
              <w:br/>
              <w:t xml:space="preserve">          300: '#9AA5B1',</w:t>
              <w:br/>
              <w:t xml:space="preserve">          400: '#7B8794',</w:t>
              <w:br/>
              <w:t xml:space="preserve">          500: '#616E7B',</w:t>
              <w:br/>
              <w:t xml:space="preserve">          600: '#52606D',</w:t>
              <w:br/>
              <w:t xml:space="preserve">          700: '#3E4C59',</w:t>
              <w:br/>
              <w:t xml:space="preserve">          800: '#323F4B',</w:t>
              <w:br/>
              <w:t xml:space="preserve">          900: '#1F2933',</w:t>
              <w:br/>
              <w:t xml:space="preserve">        }</w:t>
              <w:br/>
              <w:t xml:space="preserve">      },</w:t>
              <w:br/>
              <w:t xml:space="preserve">      borderRadius: {</w:t>
              <w:br/>
              <w:t xml:space="preserve">        DEFAULT: '4px',</w:t>
              <w:br/>
              <w:t xml:space="preserve">      },</w:t>
              <w:br/>
              <w:t xml:space="preserve">      boxShadow: {</w:t>
              <w:br/>
              <w:t xml:space="preserve">        none: 'none',</w:t>
              <w:br/>
              <w:t xml:space="preserve">      },</w:t>
              <w:br/>
              <w:t xml:space="preserve">      animation: {</w:t>
              <w:br/>
              <w:t xml:space="preserve">        none: 'none',</w:t>
              <w:br/>
              <w:t xml:space="preserve">      },</w:t>
              <w:br/>
              <w:t xml:space="preserve">      fontFamily: {</w:t>
              <w:br/>
              <w:t xml:space="preserve">        mono: ['Inter', 'ui-monospace', 'SFMono-Regular'],</w:t>
              <w:br/>
              <w:t xml:space="preserve">      }</w:t>
              <w:br/>
              <w:t xml:space="preserve">    },</w:t>
              <w:br/>
              <w:t xml:space="preserve">  },</w:t>
              <w:br/>
              <w:t xml:space="preserve">  plugins: [],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4.2 核心组件代码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输入框组件（带语音输入）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&lt;div class="relative mb-4"&gt;</w:t>
              <w:br/>
              <w:t xml:space="preserve">  &lt;label class="block text-sm font-medium text-neutral-700 mb-1"&gt;Current Annual Income&lt;/label&gt;</w:t>
              <w:br/>
              <w:t xml:space="preserve">  &lt;div class="relative"&gt;</w:t>
              <w:br/>
              <w:t xml:space="preserve">    &lt;input </w:t>
              <w:br/>
              <w:t xml:space="preserve">      type="number" </w:t>
              <w:br/>
              <w:t xml:space="preserve">      class="w-full h-12 px-4 border border-neutral-200 rounded focus:outline-none focus:border-primary-900 focus:ring-1 focus:ring-primary-900"</w:t>
              <w:br/>
              <w:t xml:space="preserve">      placeholder="$100,000"</w:t>
              <w:br/>
              <w:t xml:space="preserve">    &gt;</w:t>
              <w:br/>
              <w:t xml:space="preserve">    &lt;button class="absolute right-3 top-1/2 -translate-y-1/2 text-neutral-400 hover:text-primary-900 transition-colors"&gt;</w:t>
              <w:br/>
              <w:t xml:space="preserve">      🎤</w:t>
              <w:br/>
              <w:t xml:space="preserve">    &lt;/button&gt;</w:t>
              <w:br/>
              <w:t xml:space="preserve">  &lt;/div&gt;</w:t>
              <w:br/>
            </w:r>
            <w:r>
              <w:rPr>
                <w:rFonts w:eastAsia="Consolas" w:ascii="Consolas" w:cs="Consolas" w:hAnsi="Consolas"/>
                <w:sz w:val="22"/>
              </w:rPr>
              <w:t>&lt;/div&gt;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下拉选择组件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&lt;div class="relative mb-4"&gt;</w:t>
              <w:br/>
              <w:t xml:space="preserve">  &lt;label class="block text-sm font-medium text-neutral-700 mb-1"&gt;Filing Status&lt;/label&gt;</w:t>
              <w:br/>
              <w:t xml:space="preserve">  &lt;select class="w-full h-12 px-4 border border-neutral-200 rounded focus:outline-none focus:border-primary-900 focus:ring-1 focus:ring-primary-900 bg-white"&gt;</w:t>
              <w:br/>
              <w:t xml:space="preserve">    &lt;option&gt;Single&lt;/option&gt;</w:t>
              <w:br/>
              <w:t xml:space="preserve">    &lt;option&gt;Married Filing Jointly&lt;/option&gt;</w:t>
              <w:br/>
              <w:t xml:space="preserve">    &lt;option&gt;Married Filing Separately&lt;/option&gt;</w:t>
              <w:br/>
              <w:t xml:space="preserve">    &lt;option&gt;Head of Household&lt;/option&gt;</w:t>
              <w:br/>
              <w:t xml:space="preserve">  &lt;/select&gt;</w:t>
              <w:br/>
            </w:r>
            <w:r>
              <w:rPr>
                <w:rFonts w:eastAsia="Consolas" w:ascii="Consolas" w:cs="Consolas" w:hAnsi="Consolas"/>
                <w:sz w:val="22"/>
              </w:rPr>
              <w:t>&lt;/div&gt;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卡片组件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&lt;div class="bg-white border border-neutral-200 rounded p-6 mb-6"&gt;</w:t>
              <w:br/>
              <w:t xml:space="preserve">  &lt;h3 class="text-xl font-bold text-primary-900 mb-4"&gt;Analysis Result&lt;/h3&gt;</w:t>
              <w:br/>
              <w:t xml:space="preserve">  &lt;!-- 内容 --&gt;</w:t>
              <w:br/>
            </w:r>
            <w:r>
              <w:rPr>
                <w:rFonts w:eastAsia="Consolas" w:ascii="Consolas" w:cs="Consolas" w:hAnsi="Consolas"/>
                <w:sz w:val="22"/>
              </w:rPr>
              <w:t>&lt;/div&gt;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成本明细表格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&lt;table class="w-full"&gt;</w:t>
              <w:br/>
              <w:t xml:space="preserve">  &lt;tbody&gt;</w:t>
              <w:br/>
              <w:t xml:space="preserve">    &lt;tr class="border-b border-neutral-100"&gt;</w:t>
              <w:br/>
              <w:t xml:space="preserve">      &lt;td class="py-3 text-neutral-700"&gt;Federal Income Tax&lt;/td&gt;</w:t>
              <w:br/>
              <w:t xml:space="preserve">      &lt;td class="py-3 text-right font-medium"&gt;$7,200&lt;/td&gt;</w:t>
              <w:br/>
              <w:t xml:space="preserve">    &lt;/tr&gt;</w:t>
              <w:br/>
              <w:t xml:space="preserve">    &lt;tr class="border-b border-neutral-100"&gt;</w:t>
              <w:br/>
              <w:t xml:space="preserve">      &lt;td class="py-3 text-neutral-700"&gt;State Income Tax&lt;/td&gt;</w:t>
              <w:br/>
              <w:t xml:space="preserve">      &lt;td class="py-3 text-right font-medium"&gt;$1,800&lt;/td&gt;</w:t>
              <w:br/>
              <w:t xml:space="preserve">    &lt;/tr&gt;</w:t>
              <w:br/>
              <w:t xml:space="preserve">    &lt;tr class="border-b border-neutral-100"&gt;</w:t>
              <w:br/>
              <w:t xml:space="preserve">      &lt;td class="py-3 text-danger font-medium"&gt;IRMAA Medicare Surcharge&lt;/td&gt;</w:t>
              <w:br/>
              <w:t xml:space="preserve">      &lt;td class="py-3 text-right font-medium text-danger"&gt;$600&lt;/td&gt;</w:t>
              <w:br/>
              <w:t xml:space="preserve">    &lt;/tr&gt;</w:t>
              <w:br/>
              <w:t xml:space="preserve">    &lt;tr class="border-b border-neutral-100"&gt;</w:t>
              <w:br/>
              <w:t xml:space="preserve">      &lt;td class="py-3 text-danger font-medium"&gt;ACA Subsidy Loss&lt;/td&gt;</w:t>
              <w:br/>
              <w:t xml:space="preserve">      &lt;td class="py-3 text-right font-medium text-danger"&gt;$300&lt;/td&gt;</w:t>
              <w:br/>
              <w:t xml:space="preserve">    &lt;/tr&gt;</w:t>
              <w:br/>
              <w:t xml:space="preserve">    &lt;tr class="border-t-2 border-neutral-200"&gt;</w:t>
              <w:br/>
              <w:t xml:space="preserve">      &lt;td class="py-3 text-lg font-bold text-neutral-900"&gt;Total Tax Due&lt;/td&gt;</w:t>
              <w:br/>
              <w:t xml:space="preserve">      &lt;td class="py-3 text-right text-lg font-bold text-danger"&gt;$9,900&lt;/td&gt;</w:t>
              <w:br/>
              <w:t xml:space="preserve">    &lt;/tr&gt;</w:t>
              <w:br/>
              <w:t xml:space="preserve">  &lt;/tbody&gt;</w:t>
              <w:br/>
            </w:r>
            <w:r>
              <w:rPr>
                <w:rFonts w:eastAsia="Consolas" w:ascii="Consolas" w:cs="Consolas" w:hAnsi="Consolas"/>
                <w:sz w:val="22"/>
              </w:rPr>
              <w:t>&lt;/table&gt;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对比卡片组件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&lt;div class="grid grid-cols-1 md:grid-cols-2 gap-4 mb-6"&gt;</w:t>
              <w:br/>
              <w:t xml:space="preserve">  &lt;div class="bg-white border border-neutral-200 rounded p-4"&gt;</w:t>
              <w:br/>
              <w:t xml:space="preserve">    &lt;h4 class="text-sm font-medium text-neutral-500 mb-2"&gt;Pay with IRA funds&lt;/h4&gt;</w:t>
              <w:br/>
              <w:t xml:space="preserve">    &lt;p class="text-2xl font-bold text-neutral-900"&gt;$387,200&lt;/p&gt;</w:t>
              <w:br/>
              <w:t xml:space="preserve">    &lt;p class="text-sm text-danger"&gt;Difference: -$25,600&lt;/p&gt;</w:t>
              <w:br/>
              <w:t xml:space="preserve">  &lt;/div&gt;</w:t>
              <w:br/>
              <w:t xml:space="preserve">  &lt;div class="bg-white border border-neutral-200 rounded p-4"&gt;</w:t>
              <w:br/>
              <w:t xml:space="preserve">    &lt;h4 class="text-sm font-medium text-neutral-500 mb-2"&gt;Pay with external funds&lt;/h4&gt;</w:t>
              <w:br/>
              <w:t xml:space="preserve">    &lt;p class="text-2xl font-bold text-neutral-900"&gt;$412,800&lt;/p&gt;</w:t>
              <w:br/>
              <w:t xml:space="preserve">    &lt;p class="text-sm text-success"&gt;Difference: +$25,600&lt;/p&gt;</w:t>
              <w:br/>
              <w:t xml:space="preserve">  &lt;/div&gt;</w:t>
              <w:br/>
            </w:r>
            <w:r>
              <w:rPr>
                <w:rFonts w:eastAsia="Consolas" w:ascii="Consolas" w:cs="Consolas" w:hAnsi="Consolas"/>
                <w:sz w:val="22"/>
              </w:rPr>
              <w:t>&lt;/div&gt;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五、全流程部署与上线指南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5.1 GitHub 仓库创建与代码上传</w:t>
      </w:r>
      <w:bookmarkEnd w:id="28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 GitHub，创建新仓库</w:t>
      </w:r>
      <w:r>
        <w:rPr>
          <w:rFonts w:eastAsia="Consolas" w:ascii="Consolas" w:cs="Consolas" w:hAnsi="Consolas"/>
          <w:sz w:val="22"/>
          <w:shd w:fill="EFF0F1"/>
        </w:rPr>
        <w:t>roth-conversion-calculator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本地项目根目录执行：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init</w:t>
              <w:br/>
              <w:t>git add .</w:t>
              <w:br/>
              <w:t>git commit -m "Initial commit: full project code"</w:t>
              <w:br/>
              <w:t>git remote add origin https://github.com/你的用户名/roth-conversion-calculator.git</w:t>
              <w:br/>
            </w:r>
            <w:r>
              <w:rPr>
                <w:rFonts w:eastAsia="Consolas" w:ascii="Consolas" w:cs="Consolas" w:hAnsi="Consolas"/>
                <w:sz w:val="22"/>
              </w:rPr>
              <w:t>git push -u origin main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5.2 Vercel 部署</w:t>
      </w:r>
      <w:bookmarkEnd w:id="29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 Vercel，导入 GitHub 仓库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配置环境变量：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OPENAI_API_KEY</w:t>
      </w:r>
      <w:r>
        <w:rPr>
          <w:rFonts w:eastAsia="等线" w:ascii="Arial" w:cs="Arial" w:hAnsi="Arial"/>
          <w:sz w:val="22"/>
        </w:rPr>
        <w:t>：你的 OpenAI 密钥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ANTHROPIC_API_KEY</w:t>
      </w:r>
      <w:r>
        <w:rPr>
          <w:rFonts w:eastAsia="等线" w:ascii="Arial" w:cs="Arial" w:hAnsi="Arial"/>
          <w:sz w:val="22"/>
        </w:rPr>
        <w:t>：你的 Anthropic 密钥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Deploy，等待 1 分钟部署完成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5.3 域名 DNS 配置（Namecheap）</w:t>
      </w:r>
      <w:bookmarkEnd w:id="30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 Namecheap，进入域名</w:t>
      </w:r>
      <w:r>
        <w:rPr>
          <w:rFonts w:eastAsia="Consolas" w:ascii="Consolas" w:cs="Consolas" w:hAnsi="Consolas"/>
          <w:sz w:val="22"/>
          <w:shd w:fill="EFF0F1"/>
        </w:rPr>
        <w:t>roth-conversion-calculator-ai.shop</w:t>
      </w:r>
      <w:r>
        <w:rPr>
          <w:rFonts w:eastAsia="等线" w:ascii="Arial" w:cs="Arial" w:hAnsi="Arial"/>
          <w:sz w:val="22"/>
        </w:rPr>
        <w:t>的 Advanced DNS 页面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添加两条记录：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0"/>
        <w:gridCol w:w="1950"/>
        <w:gridCol w:w="1950"/>
        <w:gridCol w:w="195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@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[76.76.21.21](76.76.21.21)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Automatic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www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cname.vercel-dns.com</w:t>
              </w:r>
            </w:hyperlink>
            <w:r>
              <w:rPr>
                <w:rFonts w:eastAsia="等线" w:ascii="Arial" w:cs="Arial" w:hAnsi="Arial"/>
                <w:sz w:val="22"/>
              </w:rPr>
              <w:t>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Automatic</w:t>
            </w:r>
          </w:p>
        </w:tc>
      </w:tr>
    </w:tbl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回到 Vercel，添加自定义域名</w:t>
      </w:r>
      <w:r>
        <w:rPr>
          <w:rFonts w:eastAsia="Consolas" w:ascii="Consolas" w:cs="Consolas" w:hAnsi="Consolas"/>
          <w:sz w:val="22"/>
          <w:shd w:fill="EFF0F1"/>
        </w:rPr>
        <w:t>roth-conversion-calculator-ai.shop</w:t>
      </w:r>
      <w:r>
        <w:rPr>
          <w:rFonts w:eastAsia="等线" w:ascii="Arial" w:cs="Arial" w:hAnsi="Arial"/>
          <w:sz w:val="22"/>
        </w:rPr>
        <w:t>，等待 DNS 生效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5.4 GA4 与 Google Search Console 配置</w:t>
      </w:r>
      <w:bookmarkEnd w:id="31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GA4</w:t>
      </w:r>
      <w:r>
        <w:rPr>
          <w:rFonts w:eastAsia="等线" w:ascii="Arial" w:cs="Arial" w:hAnsi="Arial"/>
          <w:sz w:val="22"/>
        </w:rPr>
        <w:t>：创建媒体资源，获取测量 ID，添加到网站</w:t>
      </w:r>
      <w:r>
        <w:rPr>
          <w:rFonts w:eastAsia="Consolas" w:ascii="Consolas" w:cs="Consolas" w:hAnsi="Consolas"/>
          <w:sz w:val="22"/>
          <w:shd w:fill="EFF0F1"/>
        </w:rPr>
        <w:t>&lt;head&gt;</w:t>
      </w:r>
      <w:r>
        <w:rPr>
          <w:rFonts w:eastAsia="等线" w:ascii="Arial" w:cs="Arial" w:hAnsi="Arial"/>
          <w:sz w:val="22"/>
        </w:rPr>
        <w:t>标签中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GSC</w:t>
      </w:r>
      <w:r>
        <w:rPr>
          <w:rFonts w:eastAsia="等线" w:ascii="Arial" w:cs="Arial" w:hAnsi="Arial"/>
          <w:sz w:val="22"/>
        </w:rPr>
        <w:t>：选择网址前缀验证，添加</w:t>
      </w:r>
      <w:r>
        <w:rPr>
          <w:rFonts w:eastAsia="Consolas" w:ascii="Consolas" w:cs="Consolas" w:hAnsi="Consolas"/>
          <w:sz w:val="22"/>
          <w:shd w:fill="EFF0F1"/>
        </w:rPr>
        <w:t>&lt;meta name="google-site-verification" content="你的验证码" /&gt;</w:t>
      </w:r>
      <w:r>
        <w:rPr>
          <w:rFonts w:eastAsia="等线" w:ascii="Arial" w:cs="Arial" w:hAnsi="Arial"/>
          <w:sz w:val="22"/>
        </w:rPr>
        <w:t>到网站</w:t>
      </w:r>
      <w:r>
        <w:rPr>
          <w:rFonts w:eastAsia="Consolas" w:ascii="Consolas" w:cs="Consolas" w:hAnsi="Consolas"/>
          <w:sz w:val="22"/>
          <w:shd w:fill="EFF0F1"/>
        </w:rPr>
        <w:t>&lt;head&gt;</w:t>
      </w:r>
      <w:r>
        <w:rPr>
          <w:rFonts w:eastAsia="等线" w:ascii="Arial" w:cs="Arial" w:hAnsi="Arial"/>
          <w:sz w:val="22"/>
        </w:rPr>
        <w:t>标签中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提交站点地图</w:t>
      </w:r>
      <w:r>
        <w:rPr>
          <w:rFonts w:eastAsia="Consolas" w:ascii="Consolas" w:cs="Consolas" w:hAnsi="Consolas"/>
          <w:sz w:val="22"/>
          <w:shd w:fill="EFF0F1"/>
        </w:rPr>
        <w:t>/sitemap.xml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六、最终上线验收清单</w:t>
      </w:r>
      <w:bookmarkEnd w:id="32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页面上没有任何多余内容，只有计算器本身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所有核心输入和结果都在首屏显示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结果区顶部清晰展示三个核心数字和结论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IRMAA 和 ACA 补贴损失用红色标红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有税款支付方式对比和明确建议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信任栏显示准确性和隐私承诺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没有任何广告、弹窗或营销内容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所有功能正常工作，计算结果准确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移动端适配正常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加载速度 &lt; 0.5 秒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所有税务规则符合 2026 年 IRS 最新规定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没有任何 AI 相关字样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域名解析生效，正式域名可正常访问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GA4 和 GSC 验证通过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双模型交互式校验流程正常工作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文档结束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保存说明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你可以将以上所有内容复制到任意文本编辑器（如 VS Code、记事本）中，然后将文件保存为：</w:t>
        <w:br/>
      </w:r>
      <w:r>
        <w:rPr>
          <w:rFonts w:eastAsia="Consolas" w:ascii="Consolas" w:cs="Consolas" w:hAnsi="Consolas"/>
          <w:sz w:val="22"/>
          <w:shd w:fill="EFF0F1"/>
        </w:rPr>
        <w:t>roth-conversion-calculator-v1.3-final-execution-manual.md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这份文档包含了我们所有讨论的结论，可直接用于开发、部署和团队协作。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71556">
    <w:lvl>
      <w:start w:val="1"/>
      <w:numFmt w:val="decimal"/>
      <w:suff w:val="tab"/>
      <w:lvlText w:val="%1."/>
      <w:rPr>
        <w:color w:val="3370ff"/>
      </w:rPr>
    </w:lvl>
  </w:abstractNum>
  <w:abstractNum w:abstractNumId="1771557">
    <w:lvl>
      <w:start w:val="2"/>
      <w:numFmt w:val="decimal"/>
      <w:suff w:val="tab"/>
      <w:lvlText w:val="%1."/>
      <w:rPr>
        <w:color w:val="3370ff"/>
      </w:rPr>
    </w:lvl>
  </w:abstractNum>
  <w:abstractNum w:abstractNumId="1771558">
    <w:lvl>
      <w:start w:val="3"/>
      <w:numFmt w:val="decimal"/>
      <w:suff w:val="tab"/>
      <w:lvlText w:val="%1."/>
      <w:rPr>
        <w:color w:val="3370ff"/>
      </w:rPr>
    </w:lvl>
  </w:abstractNum>
  <w:abstractNum w:abstractNumId="1771559">
    <w:lvl>
      <w:start w:val="4"/>
      <w:numFmt w:val="decimal"/>
      <w:suff w:val="tab"/>
      <w:lvlText w:val="%1."/>
      <w:rPr>
        <w:color w:val="3370ff"/>
      </w:rPr>
    </w:lvl>
  </w:abstractNum>
  <w:abstractNum w:abstractNumId="1771560">
    <w:lvl>
      <w:start w:val="5"/>
      <w:numFmt w:val="decimal"/>
      <w:suff w:val="tab"/>
      <w:lvlText w:val="%1."/>
      <w:rPr>
        <w:color w:val="3370ff"/>
      </w:rPr>
    </w:lvl>
  </w:abstractNum>
  <w:abstractNum w:abstractNumId="1771561">
    <w:lvl>
      <w:start w:val="6"/>
      <w:numFmt w:val="decimal"/>
      <w:suff w:val="tab"/>
      <w:lvlText w:val="%1."/>
      <w:rPr>
        <w:color w:val="3370ff"/>
      </w:rPr>
    </w:lvl>
  </w:abstractNum>
  <w:abstractNum w:abstractNumId="1771562">
    <w:lvl>
      <w:start w:val="1"/>
      <w:numFmt w:val="decimal"/>
      <w:suff w:val="tab"/>
      <w:lvlText w:val="%1."/>
      <w:rPr>
        <w:color w:val="3370ff"/>
      </w:rPr>
    </w:lvl>
  </w:abstractNum>
  <w:abstractNum w:abstractNumId="1771563">
    <w:lvl>
      <w:start w:val="2"/>
      <w:numFmt w:val="decimal"/>
      <w:suff w:val="tab"/>
      <w:lvlText w:val="%1."/>
      <w:rPr>
        <w:color w:val="3370ff"/>
      </w:rPr>
    </w:lvl>
  </w:abstractNum>
  <w:abstractNum w:abstractNumId="1771564">
    <w:lvl>
      <w:start w:val="3"/>
      <w:numFmt w:val="decimal"/>
      <w:suff w:val="tab"/>
      <w:lvlText w:val="%1."/>
      <w:rPr>
        <w:color w:val="3370ff"/>
      </w:rPr>
    </w:lvl>
  </w:abstractNum>
  <w:abstractNum w:abstractNumId="1771565">
    <w:lvl>
      <w:start w:val="4"/>
      <w:numFmt w:val="decimal"/>
      <w:suff w:val="tab"/>
      <w:lvlText w:val="%1."/>
      <w:rPr>
        <w:color w:val="3370ff"/>
      </w:rPr>
    </w:lvl>
  </w:abstractNum>
  <w:abstractNum w:abstractNumId="1771566">
    <w:lvl>
      <w:start w:val="5"/>
      <w:numFmt w:val="decimal"/>
      <w:suff w:val="tab"/>
      <w:lvlText w:val="%1."/>
      <w:rPr>
        <w:color w:val="3370ff"/>
      </w:rPr>
    </w:lvl>
  </w:abstractNum>
  <w:abstractNum w:abstractNumId="1771567">
    <w:lvl>
      <w:start w:val="6"/>
      <w:numFmt w:val="decimal"/>
      <w:suff w:val="tab"/>
      <w:lvlText w:val="%1."/>
      <w:rPr>
        <w:color w:val="3370ff"/>
      </w:rPr>
    </w:lvl>
  </w:abstractNum>
  <w:abstractNum w:abstractNumId="1771568">
    <w:lvl>
      <w:start w:val="1"/>
      <w:numFmt w:val="decimal"/>
      <w:suff w:val="tab"/>
      <w:lvlText w:val="%1."/>
      <w:rPr>
        <w:color w:val="3370ff"/>
      </w:rPr>
    </w:lvl>
  </w:abstractNum>
  <w:abstractNum w:abstractNumId="1771569">
    <w:lvl>
      <w:start w:val="2"/>
      <w:numFmt w:val="decimal"/>
      <w:suff w:val="tab"/>
      <w:lvlText w:val="%1."/>
      <w:rPr>
        <w:color w:val="3370ff"/>
      </w:rPr>
    </w:lvl>
  </w:abstractNum>
  <w:abstractNum w:abstractNumId="1771570">
    <w:lvl>
      <w:start w:val="3"/>
      <w:numFmt w:val="decimal"/>
      <w:suff w:val="tab"/>
      <w:lvlText w:val="%1."/>
      <w:rPr>
        <w:color w:val="3370ff"/>
      </w:rPr>
    </w:lvl>
  </w:abstractNum>
  <w:abstractNum w:abstractNumId="1771571">
    <w:lvl>
      <w:start w:val="4"/>
      <w:numFmt w:val="decimal"/>
      <w:suff w:val="tab"/>
      <w:lvlText w:val="%1."/>
      <w:rPr>
        <w:color w:val="3370ff"/>
      </w:rPr>
    </w:lvl>
  </w:abstractNum>
  <w:abstractNum w:abstractNumId="1771572">
    <w:lvl>
      <w:start w:val="5"/>
      <w:numFmt w:val="decimal"/>
      <w:suff w:val="tab"/>
      <w:lvlText w:val="%1."/>
      <w:rPr>
        <w:color w:val="3370ff"/>
      </w:rPr>
    </w:lvl>
  </w:abstractNum>
  <w:abstractNum w:abstractNumId="1771573">
    <w:lvl>
      <w:numFmt w:val="bullet"/>
      <w:suff w:val="tab"/>
      <w:lvlText w:val="•"/>
      <w:rPr>
        <w:color w:val="3370ff"/>
      </w:rPr>
    </w:lvl>
  </w:abstractNum>
  <w:abstractNum w:abstractNumId="1771574">
    <w:lvl>
      <w:numFmt w:val="bullet"/>
      <w:suff w:val="tab"/>
      <w:lvlText w:val="•"/>
      <w:rPr>
        <w:color w:val="3370ff"/>
      </w:rPr>
    </w:lvl>
  </w:abstractNum>
  <w:abstractNum w:abstractNumId="1771575">
    <w:lvl>
      <w:numFmt w:val="bullet"/>
      <w:suff w:val="tab"/>
      <w:lvlText w:val="•"/>
      <w:rPr>
        <w:color w:val="3370ff"/>
      </w:rPr>
    </w:lvl>
  </w:abstractNum>
  <w:abstractNum w:abstractNumId="1771576">
    <w:lvl>
      <w:numFmt w:val="bullet"/>
      <w:suff w:val="tab"/>
      <w:lvlText w:val="•"/>
      <w:rPr>
        <w:color w:val="3370ff"/>
      </w:rPr>
    </w:lvl>
  </w:abstractNum>
  <w:abstractNum w:abstractNumId="1771577">
    <w:lvl>
      <w:numFmt w:val="bullet"/>
      <w:suff w:val="tab"/>
      <w:lvlText w:val="•"/>
      <w:rPr>
        <w:color w:val="3370ff"/>
      </w:rPr>
    </w:lvl>
  </w:abstractNum>
  <w:abstractNum w:abstractNumId="1771578">
    <w:lvl>
      <w:start w:val="1"/>
      <w:numFmt w:val="decimal"/>
      <w:suff w:val="tab"/>
      <w:lvlText w:val="%1."/>
      <w:rPr>
        <w:color w:val="3370ff"/>
      </w:rPr>
    </w:lvl>
  </w:abstractNum>
  <w:abstractNum w:abstractNumId="1771579">
    <w:lvl>
      <w:start w:val="2"/>
      <w:numFmt w:val="decimal"/>
      <w:suff w:val="tab"/>
      <w:lvlText w:val="%1."/>
      <w:rPr>
        <w:color w:val="3370ff"/>
      </w:rPr>
    </w:lvl>
  </w:abstractNum>
  <w:abstractNum w:abstractNumId="1771580">
    <w:lvl>
      <w:start w:val="3"/>
      <w:numFmt w:val="decimal"/>
      <w:suff w:val="tab"/>
      <w:lvlText w:val="%1."/>
      <w:rPr>
        <w:color w:val="3370ff"/>
      </w:rPr>
    </w:lvl>
  </w:abstractNum>
  <w:abstractNum w:abstractNumId="1771581">
    <w:lvl>
      <w:start w:val="4"/>
      <w:numFmt w:val="decimal"/>
      <w:suff w:val="tab"/>
      <w:lvlText w:val="%1."/>
      <w:rPr>
        <w:color w:val="3370ff"/>
      </w:rPr>
    </w:lvl>
  </w:abstractNum>
  <w:abstractNum w:abstractNumId="1771582">
    <w:lvl>
      <w:start w:val="5"/>
      <w:numFmt w:val="decimal"/>
      <w:suff w:val="tab"/>
      <w:lvlText w:val="%1."/>
      <w:rPr>
        <w:color w:val="3370ff"/>
      </w:rPr>
    </w:lvl>
  </w:abstractNum>
  <w:abstractNum w:abstractNumId="1771583">
    <w:lvl>
      <w:start w:val="6"/>
      <w:numFmt w:val="decimal"/>
      <w:suff w:val="tab"/>
      <w:lvlText w:val="%1."/>
      <w:rPr>
        <w:color w:val="3370ff"/>
      </w:rPr>
    </w:lvl>
  </w:abstractNum>
  <w:abstractNum w:abstractNumId="1771584">
    <w:lvl>
      <w:numFmt w:val="bullet"/>
      <w:suff w:val="tab"/>
      <w:lvlText w:val="•"/>
      <w:rPr>
        <w:color w:val="3370ff"/>
      </w:rPr>
    </w:lvl>
  </w:abstractNum>
  <w:abstractNum w:abstractNumId="1771585">
    <w:lvl>
      <w:numFmt w:val="bullet"/>
      <w:suff w:val="tab"/>
      <w:lvlText w:val="•"/>
      <w:rPr>
        <w:color w:val="3370ff"/>
      </w:rPr>
    </w:lvl>
  </w:abstractNum>
  <w:abstractNum w:abstractNumId="1771586">
    <w:lvl>
      <w:numFmt w:val="bullet"/>
      <w:suff w:val="tab"/>
      <w:lvlText w:val="•"/>
      <w:rPr>
        <w:color w:val="3370ff"/>
      </w:rPr>
    </w:lvl>
  </w:abstractNum>
  <w:abstractNum w:abstractNumId="1771587">
    <w:lvl>
      <w:numFmt w:val="bullet"/>
      <w:suff w:val="tab"/>
      <w:lvlText w:val="•"/>
      <w:rPr>
        <w:color w:val="3370ff"/>
      </w:rPr>
    </w:lvl>
  </w:abstractNum>
  <w:abstractNum w:abstractNumId="1771588">
    <w:lvl>
      <w:numFmt w:val="bullet"/>
      <w:suff w:val="tab"/>
      <w:lvlText w:val="•"/>
      <w:rPr>
        <w:color w:val="3370ff"/>
      </w:rPr>
    </w:lvl>
  </w:abstractNum>
  <w:abstractNum w:abstractNumId="1771589">
    <w:lvl>
      <w:numFmt w:val="bullet"/>
      <w:suff w:val="tab"/>
      <w:lvlText w:val="•"/>
      <w:rPr>
        <w:color w:val="3370ff"/>
      </w:rPr>
    </w:lvl>
  </w:abstractNum>
  <w:abstractNum w:abstractNumId="1771590">
    <w:lvl>
      <w:numFmt w:val="bullet"/>
      <w:suff w:val="tab"/>
      <w:lvlText w:val="•"/>
      <w:rPr>
        <w:color w:val="3370ff"/>
      </w:rPr>
    </w:lvl>
  </w:abstractNum>
  <w:abstractNum w:abstractNumId="1771591">
    <w:lvl>
      <w:numFmt w:val="bullet"/>
      <w:suff w:val="tab"/>
      <w:lvlText w:val="•"/>
      <w:rPr>
        <w:color w:val="3370ff"/>
      </w:rPr>
    </w:lvl>
  </w:abstractNum>
  <w:abstractNum w:abstractNumId="1771592">
    <w:lvl>
      <w:numFmt w:val="bullet"/>
      <w:suff w:val="tab"/>
      <w:lvlText w:val="•"/>
      <w:rPr>
        <w:color w:val="3370ff"/>
      </w:rPr>
    </w:lvl>
  </w:abstractNum>
  <w:abstractNum w:abstractNumId="1771593">
    <w:lvl>
      <w:numFmt w:val="bullet"/>
      <w:suff w:val="tab"/>
      <w:lvlText w:val="•"/>
      <w:rPr>
        <w:color w:val="3370ff"/>
      </w:rPr>
    </w:lvl>
  </w:abstractNum>
  <w:abstractNum w:abstractNumId="1771594">
    <w:lvl>
      <w:numFmt w:val="bullet"/>
      <w:suff w:val="tab"/>
      <w:lvlText w:val="•"/>
      <w:rPr>
        <w:color w:val="3370ff"/>
      </w:rPr>
    </w:lvl>
  </w:abstractNum>
  <w:abstractNum w:abstractNumId="1771595">
    <w:lvl>
      <w:numFmt w:val="bullet"/>
      <w:suff w:val="tab"/>
      <w:lvlText w:val="•"/>
      <w:rPr>
        <w:color w:val="3370ff"/>
      </w:rPr>
    </w:lvl>
  </w:abstractNum>
  <w:abstractNum w:abstractNumId="1771596">
    <w:lvl>
      <w:numFmt w:val="bullet"/>
      <w:suff w:val="tab"/>
      <w:lvlText w:val="•"/>
      <w:rPr>
        <w:color w:val="3370ff"/>
      </w:rPr>
    </w:lvl>
  </w:abstractNum>
  <w:abstractNum w:abstractNumId="1771597">
    <w:lvl>
      <w:numFmt w:val="bullet"/>
      <w:suff w:val="tab"/>
      <w:lvlText w:val="•"/>
      <w:rPr>
        <w:color w:val="3370ff"/>
      </w:rPr>
    </w:lvl>
  </w:abstractNum>
  <w:abstractNum w:abstractNumId="1771598">
    <w:lvl>
      <w:numFmt w:val="bullet"/>
      <w:suff w:val="tab"/>
      <w:lvlText w:val="•"/>
      <w:rPr>
        <w:color w:val="3370ff"/>
      </w:rPr>
    </w:lvl>
  </w:abstractNum>
  <w:abstractNum w:abstractNumId="1771599">
    <w:lvl>
      <w:numFmt w:val="bullet"/>
      <w:suff w:val="tab"/>
      <w:lvlText w:val="•"/>
      <w:rPr>
        <w:color w:val="3370ff"/>
      </w:rPr>
    </w:lvl>
  </w:abstractNum>
  <w:abstractNum w:abstractNumId="1771600">
    <w:lvl>
      <w:numFmt w:val="bullet"/>
      <w:suff w:val="tab"/>
      <w:lvlText w:val="•"/>
      <w:rPr>
        <w:color w:val="3370ff"/>
      </w:rPr>
    </w:lvl>
  </w:abstractNum>
  <w:abstractNum w:abstractNumId="1771601">
    <w:lvl>
      <w:numFmt w:val="bullet"/>
      <w:suff w:val="tab"/>
      <w:lvlText w:val="•"/>
      <w:rPr>
        <w:color w:val="3370ff"/>
      </w:rPr>
    </w:lvl>
  </w:abstractNum>
  <w:abstractNum w:abstractNumId="1771602">
    <w:lvl>
      <w:numFmt w:val="bullet"/>
      <w:suff w:val="tab"/>
      <w:lvlText w:val="•"/>
      <w:rPr>
        <w:color w:val="3370ff"/>
      </w:rPr>
    </w:lvl>
  </w:abstractNum>
  <w:abstractNum w:abstractNumId="1771603">
    <w:lvl>
      <w:numFmt w:val="bullet"/>
      <w:suff w:val="tab"/>
      <w:lvlText w:val="•"/>
      <w:rPr>
        <w:color w:val="3370ff"/>
      </w:rPr>
    </w:lvl>
  </w:abstractNum>
  <w:abstractNum w:abstractNumId="1771604">
    <w:lvl>
      <w:start w:val="1"/>
      <w:numFmt w:val="decimal"/>
      <w:suff w:val="tab"/>
      <w:lvlText w:val="%1."/>
      <w:rPr>
        <w:color w:val="3370ff"/>
      </w:rPr>
    </w:lvl>
  </w:abstractNum>
  <w:abstractNum w:abstractNumId="1771605">
    <w:lvl>
      <w:start w:val="2"/>
      <w:numFmt w:val="decimal"/>
      <w:suff w:val="tab"/>
      <w:lvlText w:val="%1."/>
      <w:rPr>
        <w:color w:val="3370ff"/>
      </w:rPr>
    </w:lvl>
  </w:abstractNum>
  <w:abstractNum w:abstractNumId="1771606">
    <w:lvl>
      <w:start w:val="3"/>
      <w:numFmt w:val="decimal"/>
      <w:suff w:val="tab"/>
      <w:lvlText w:val="%1."/>
      <w:rPr>
        <w:color w:val="3370ff"/>
      </w:rPr>
    </w:lvl>
  </w:abstractNum>
  <w:abstractNum w:abstractNumId="1771607">
    <w:lvl>
      <w:start w:val="4"/>
      <w:numFmt w:val="decimal"/>
      <w:suff w:val="tab"/>
      <w:lvlText w:val="%1."/>
      <w:rPr>
        <w:color w:val="3370ff"/>
      </w:rPr>
    </w:lvl>
  </w:abstractNum>
  <w:abstractNum w:abstractNumId="1771608">
    <w:lvl>
      <w:start w:val="5"/>
      <w:numFmt w:val="decimal"/>
      <w:suff w:val="tab"/>
      <w:lvlText w:val="%1."/>
      <w:rPr>
        <w:color w:val="3370ff"/>
      </w:rPr>
    </w:lvl>
  </w:abstractNum>
  <w:abstractNum w:abstractNumId="1771609">
    <w:lvl>
      <w:start w:val="1"/>
      <w:numFmt w:val="decimal"/>
      <w:suff w:val="tab"/>
      <w:lvlText w:val="%1."/>
      <w:rPr>
        <w:color w:val="3370ff"/>
      </w:rPr>
    </w:lvl>
  </w:abstractNum>
  <w:abstractNum w:abstractNumId="1771610">
    <w:lvl>
      <w:start w:val="2"/>
      <w:numFmt w:val="decimal"/>
      <w:suff w:val="tab"/>
      <w:lvlText w:val="%1."/>
      <w:rPr>
        <w:color w:val="3370ff"/>
      </w:rPr>
    </w:lvl>
  </w:abstractNum>
  <w:abstractNum w:abstractNumId="1771611">
    <w:lvl>
      <w:start w:val="3"/>
      <w:numFmt w:val="decimal"/>
      <w:suff w:val="tab"/>
      <w:lvlText w:val="%1."/>
      <w:rPr>
        <w:color w:val="3370ff"/>
      </w:rPr>
    </w:lvl>
  </w:abstractNum>
  <w:abstractNum w:abstractNumId="1771612">
    <w:lvl>
      <w:start w:val="4"/>
      <w:numFmt w:val="decimal"/>
      <w:suff w:val="tab"/>
      <w:lvlText w:val="%1."/>
      <w:rPr>
        <w:color w:val="3370ff"/>
      </w:rPr>
    </w:lvl>
  </w:abstractNum>
  <w:abstractNum w:abstractNumId="1771613">
    <w:lvl>
      <w:start w:val="1"/>
      <w:numFmt w:val="decimal"/>
      <w:suff w:val="tab"/>
      <w:lvlText w:val="%1."/>
      <w:rPr>
        <w:color w:val="3370ff"/>
      </w:rPr>
    </w:lvl>
  </w:abstractNum>
  <w:abstractNum w:abstractNumId="1771614">
    <w:lvl>
      <w:start w:val="2"/>
      <w:numFmt w:val="decimal"/>
      <w:suff w:val="tab"/>
      <w:lvlText w:val="%1."/>
      <w:rPr>
        <w:color w:val="3370ff"/>
      </w:rPr>
    </w:lvl>
  </w:abstractNum>
  <w:abstractNum w:abstractNumId="1771615">
    <w:lvl>
      <w:start w:val="1"/>
      <w:numFmt w:val="decimal"/>
      <w:suff w:val="tab"/>
      <w:lvlText w:val="%1."/>
      <w:rPr>
        <w:color w:val="3370ff"/>
      </w:rPr>
    </w:lvl>
  </w:abstractNum>
  <w:abstractNum w:abstractNumId="1771616">
    <w:lvl>
      <w:start w:val="2"/>
      <w:numFmt w:val="decimal"/>
      <w:suff w:val="tab"/>
      <w:lvlText w:val="%1."/>
      <w:rPr>
        <w:color w:val="3370ff"/>
      </w:rPr>
    </w:lvl>
  </w:abstractNum>
  <w:abstractNum w:abstractNumId="1771617">
    <w:lvl>
      <w:numFmt w:val="bullet"/>
      <w:suff w:val="tab"/>
      <w:lvlText w:val="￮"/>
      <w:rPr>
        <w:color w:val="3370ff"/>
      </w:rPr>
    </w:lvl>
  </w:abstractNum>
  <w:abstractNum w:abstractNumId="1771618">
    <w:lvl>
      <w:numFmt w:val="bullet"/>
      <w:suff w:val="tab"/>
      <w:lvlText w:val="￮"/>
      <w:rPr>
        <w:color w:val="3370ff"/>
      </w:rPr>
    </w:lvl>
  </w:abstractNum>
  <w:abstractNum w:abstractNumId="1771619">
    <w:lvl>
      <w:start w:val="3"/>
      <w:numFmt w:val="decimal"/>
      <w:suff w:val="tab"/>
      <w:lvlText w:val="%1."/>
      <w:rPr>
        <w:color w:val="3370ff"/>
      </w:rPr>
    </w:lvl>
  </w:abstractNum>
  <w:abstractNum w:abstractNumId="1771620">
    <w:lvl>
      <w:start w:val="1"/>
      <w:numFmt w:val="decimal"/>
      <w:suff w:val="tab"/>
      <w:lvlText w:val="%1."/>
      <w:rPr>
        <w:color w:val="3370ff"/>
      </w:rPr>
    </w:lvl>
  </w:abstractNum>
  <w:abstractNum w:abstractNumId="1771621">
    <w:lvl>
      <w:start w:val="2"/>
      <w:numFmt w:val="decimal"/>
      <w:suff w:val="tab"/>
      <w:lvlText w:val="%1."/>
      <w:rPr>
        <w:color w:val="3370ff"/>
      </w:rPr>
    </w:lvl>
  </w:abstractNum>
  <w:abstractNum w:abstractNumId="1771622">
    <w:lvl>
      <w:start w:val="3"/>
      <w:numFmt w:val="decimal"/>
      <w:suff w:val="tab"/>
      <w:lvlText w:val="%1."/>
      <w:rPr>
        <w:color w:val="3370ff"/>
      </w:rPr>
    </w:lvl>
  </w:abstractNum>
  <w:abstractNum w:abstractNumId="1771623">
    <w:lvl>
      <w:start w:val="1"/>
      <w:numFmt w:val="decimal"/>
      <w:suff w:val="tab"/>
      <w:lvlText w:val="%1."/>
      <w:rPr>
        <w:color w:val="3370ff"/>
      </w:rPr>
    </w:lvl>
  </w:abstractNum>
  <w:abstractNum w:abstractNumId="1771624">
    <w:lvl>
      <w:start w:val="2"/>
      <w:numFmt w:val="decimal"/>
      <w:suff w:val="tab"/>
      <w:lvlText w:val="%1."/>
      <w:rPr>
        <w:color w:val="3370ff"/>
      </w:rPr>
    </w:lvl>
  </w:abstractNum>
  <w:abstractNum w:abstractNumId="1771625">
    <w:lvl>
      <w:start w:val="3"/>
      <w:numFmt w:val="decimal"/>
      <w:suff w:val="tab"/>
      <w:lvlText w:val="%1."/>
      <w:rPr>
        <w:color w:val="3370ff"/>
      </w:rPr>
    </w:lvl>
  </w:abstractNum>
  <w:abstractNum w:abstractNumId="1771626">
    <w:lvl>
      <w:numFmt w:val="bullet"/>
      <w:suff w:val="space"/>
      <w:lvlText w:val="□"/>
    </w:lvl>
  </w:abstractNum>
  <w:abstractNum w:abstractNumId="1771627">
    <w:lvl>
      <w:numFmt w:val="bullet"/>
      <w:suff w:val="space"/>
      <w:lvlText w:val="□"/>
    </w:lvl>
  </w:abstractNum>
  <w:abstractNum w:abstractNumId="1771628">
    <w:lvl>
      <w:numFmt w:val="bullet"/>
      <w:suff w:val="space"/>
      <w:lvlText w:val="□"/>
    </w:lvl>
  </w:abstractNum>
  <w:abstractNum w:abstractNumId="1771629">
    <w:lvl>
      <w:numFmt w:val="bullet"/>
      <w:suff w:val="space"/>
      <w:lvlText w:val="□"/>
    </w:lvl>
  </w:abstractNum>
  <w:abstractNum w:abstractNumId="1771630">
    <w:lvl>
      <w:numFmt w:val="bullet"/>
      <w:suff w:val="space"/>
      <w:lvlText w:val="□"/>
    </w:lvl>
  </w:abstractNum>
  <w:abstractNum w:abstractNumId="1771631">
    <w:lvl>
      <w:numFmt w:val="bullet"/>
      <w:suff w:val="space"/>
      <w:lvlText w:val="□"/>
    </w:lvl>
  </w:abstractNum>
  <w:abstractNum w:abstractNumId="1771632">
    <w:lvl>
      <w:numFmt w:val="bullet"/>
      <w:suff w:val="space"/>
      <w:lvlText w:val="□"/>
    </w:lvl>
  </w:abstractNum>
  <w:abstractNum w:abstractNumId="1771633">
    <w:lvl>
      <w:numFmt w:val="bullet"/>
      <w:suff w:val="space"/>
      <w:lvlText w:val="□"/>
    </w:lvl>
  </w:abstractNum>
  <w:abstractNum w:abstractNumId="1771634">
    <w:lvl>
      <w:numFmt w:val="bullet"/>
      <w:suff w:val="space"/>
      <w:lvlText w:val="□"/>
    </w:lvl>
  </w:abstractNum>
  <w:abstractNum w:abstractNumId="1771635">
    <w:lvl>
      <w:numFmt w:val="bullet"/>
      <w:suff w:val="space"/>
      <w:lvlText w:val="□"/>
    </w:lvl>
  </w:abstractNum>
  <w:abstractNum w:abstractNumId="1771636">
    <w:lvl>
      <w:numFmt w:val="bullet"/>
      <w:suff w:val="space"/>
      <w:lvlText w:val="□"/>
    </w:lvl>
  </w:abstractNum>
  <w:abstractNum w:abstractNumId="1771637">
    <w:lvl>
      <w:numFmt w:val="bullet"/>
      <w:suff w:val="space"/>
      <w:lvlText w:val="□"/>
    </w:lvl>
  </w:abstractNum>
  <w:abstractNum w:abstractNumId="1771638">
    <w:lvl>
      <w:numFmt w:val="bullet"/>
      <w:suff w:val="space"/>
      <w:lvlText w:val="□"/>
    </w:lvl>
  </w:abstractNum>
  <w:abstractNum w:abstractNumId="1771639">
    <w:lvl>
      <w:numFmt w:val="bullet"/>
      <w:suff w:val="space"/>
      <w:lvlText w:val="□"/>
    </w:lvl>
  </w:abstractNum>
  <w:abstractNum w:abstractNumId="1771640">
    <w:lvl>
      <w:numFmt w:val="bullet"/>
      <w:suff w:val="space"/>
      <w:lvlText w:val="□"/>
    </w:lvl>
  </w:abstractNum>
  <w:num w:numId="1">
    <w:abstractNumId w:val="1771556"/>
  </w:num>
  <w:num w:numId="2">
    <w:abstractNumId w:val="1771557"/>
  </w:num>
  <w:num w:numId="3">
    <w:abstractNumId w:val="1771558"/>
  </w:num>
  <w:num w:numId="4">
    <w:abstractNumId w:val="1771559"/>
  </w:num>
  <w:num w:numId="5">
    <w:abstractNumId w:val="1771560"/>
  </w:num>
  <w:num w:numId="6">
    <w:abstractNumId w:val="1771561"/>
  </w:num>
  <w:num w:numId="7">
    <w:abstractNumId w:val="1771562"/>
  </w:num>
  <w:num w:numId="8">
    <w:abstractNumId w:val="1771563"/>
  </w:num>
  <w:num w:numId="9">
    <w:abstractNumId w:val="1771564"/>
  </w:num>
  <w:num w:numId="10">
    <w:abstractNumId w:val="1771565"/>
  </w:num>
  <w:num w:numId="11">
    <w:abstractNumId w:val="1771566"/>
  </w:num>
  <w:num w:numId="12">
    <w:abstractNumId w:val="1771567"/>
  </w:num>
  <w:num w:numId="13">
    <w:abstractNumId w:val="1771568"/>
  </w:num>
  <w:num w:numId="14">
    <w:abstractNumId w:val="1771569"/>
  </w:num>
  <w:num w:numId="15">
    <w:abstractNumId w:val="1771570"/>
  </w:num>
  <w:num w:numId="16">
    <w:abstractNumId w:val="1771571"/>
  </w:num>
  <w:num w:numId="17">
    <w:abstractNumId w:val="1771572"/>
  </w:num>
  <w:num w:numId="18">
    <w:abstractNumId w:val="1771573"/>
  </w:num>
  <w:num w:numId="19">
    <w:abstractNumId w:val="1771574"/>
  </w:num>
  <w:num w:numId="20">
    <w:abstractNumId w:val="1771575"/>
  </w:num>
  <w:num w:numId="21">
    <w:abstractNumId w:val="1771576"/>
  </w:num>
  <w:num w:numId="22">
    <w:abstractNumId w:val="1771577"/>
  </w:num>
  <w:num w:numId="23">
    <w:abstractNumId w:val="1771578"/>
  </w:num>
  <w:num w:numId="24">
    <w:abstractNumId w:val="1771579"/>
  </w:num>
  <w:num w:numId="25">
    <w:abstractNumId w:val="1771580"/>
  </w:num>
  <w:num w:numId="26">
    <w:abstractNumId w:val="1771581"/>
  </w:num>
  <w:num w:numId="27">
    <w:abstractNumId w:val="1771582"/>
  </w:num>
  <w:num w:numId="28">
    <w:abstractNumId w:val="1771583"/>
  </w:num>
  <w:num w:numId="29">
    <w:abstractNumId w:val="1771584"/>
  </w:num>
  <w:num w:numId="30">
    <w:abstractNumId w:val="1771585"/>
  </w:num>
  <w:num w:numId="31">
    <w:abstractNumId w:val="1771586"/>
  </w:num>
  <w:num w:numId="32">
    <w:abstractNumId w:val="1771587"/>
  </w:num>
  <w:num w:numId="33">
    <w:abstractNumId w:val="1771588"/>
  </w:num>
  <w:num w:numId="34">
    <w:abstractNumId w:val="1771589"/>
  </w:num>
  <w:num w:numId="35">
    <w:abstractNumId w:val="1771590"/>
  </w:num>
  <w:num w:numId="36">
    <w:abstractNumId w:val="1771591"/>
  </w:num>
  <w:num w:numId="37">
    <w:abstractNumId w:val="1771592"/>
  </w:num>
  <w:num w:numId="38">
    <w:abstractNumId w:val="1771593"/>
  </w:num>
  <w:num w:numId="39">
    <w:abstractNumId w:val="1771594"/>
  </w:num>
  <w:num w:numId="40">
    <w:abstractNumId w:val="1771595"/>
  </w:num>
  <w:num w:numId="41">
    <w:abstractNumId w:val="1771596"/>
  </w:num>
  <w:num w:numId="42">
    <w:abstractNumId w:val="1771597"/>
  </w:num>
  <w:num w:numId="43">
    <w:abstractNumId w:val="1771598"/>
  </w:num>
  <w:num w:numId="44">
    <w:abstractNumId w:val="1771599"/>
  </w:num>
  <w:num w:numId="45">
    <w:abstractNumId w:val="1771600"/>
  </w:num>
  <w:num w:numId="46">
    <w:abstractNumId w:val="1771601"/>
  </w:num>
  <w:num w:numId="47">
    <w:abstractNumId w:val="1771602"/>
  </w:num>
  <w:num w:numId="48">
    <w:abstractNumId w:val="1771603"/>
  </w:num>
  <w:num w:numId="49">
    <w:abstractNumId w:val="1771604"/>
  </w:num>
  <w:num w:numId="50">
    <w:abstractNumId w:val="1771605"/>
  </w:num>
  <w:num w:numId="51">
    <w:abstractNumId w:val="1771606"/>
  </w:num>
  <w:num w:numId="52">
    <w:abstractNumId w:val="1771607"/>
  </w:num>
  <w:num w:numId="53">
    <w:abstractNumId w:val="1771608"/>
  </w:num>
  <w:num w:numId="54">
    <w:abstractNumId w:val="1771609"/>
  </w:num>
  <w:num w:numId="55">
    <w:abstractNumId w:val="1771610"/>
  </w:num>
  <w:num w:numId="56">
    <w:abstractNumId w:val="1771611"/>
  </w:num>
  <w:num w:numId="57">
    <w:abstractNumId w:val="1771612"/>
  </w:num>
  <w:num w:numId="58">
    <w:abstractNumId w:val="1771613"/>
  </w:num>
  <w:num w:numId="59">
    <w:abstractNumId w:val="1771614"/>
  </w:num>
  <w:num w:numId="60">
    <w:abstractNumId w:val="1771615"/>
  </w:num>
  <w:num w:numId="61">
    <w:abstractNumId w:val="1771616"/>
  </w:num>
  <w:num w:numId="62">
    <w:abstractNumId w:val="1771617"/>
  </w:num>
  <w:num w:numId="63">
    <w:abstractNumId w:val="1771618"/>
  </w:num>
  <w:num w:numId="64">
    <w:abstractNumId w:val="1771619"/>
  </w:num>
  <w:num w:numId="65">
    <w:abstractNumId w:val="1771620"/>
  </w:num>
  <w:num w:numId="66">
    <w:abstractNumId w:val="1771621"/>
  </w:num>
  <w:num w:numId="67">
    <w:abstractNumId w:val="1771622"/>
  </w:num>
  <w:num w:numId="68">
    <w:abstractNumId w:val="1771623"/>
  </w:num>
  <w:num w:numId="69">
    <w:abstractNumId w:val="1771624"/>
  </w:num>
  <w:num w:numId="70">
    <w:abstractNumId w:val="1771625"/>
  </w:num>
  <w:num w:numId="71">
    <w:abstractNumId w:val="1771626"/>
  </w:num>
  <w:num w:numId="72">
    <w:abstractNumId w:val="1771627"/>
  </w:num>
  <w:num w:numId="73">
    <w:abstractNumId w:val="1771628"/>
  </w:num>
  <w:num w:numId="74">
    <w:abstractNumId w:val="1771629"/>
  </w:num>
  <w:num w:numId="75">
    <w:abstractNumId w:val="1771630"/>
  </w:num>
  <w:num w:numId="76">
    <w:abstractNumId w:val="1771631"/>
  </w:num>
  <w:num w:numId="77">
    <w:abstractNumId w:val="1771632"/>
  </w:num>
  <w:num w:numId="78">
    <w:abstractNumId w:val="1771633"/>
  </w:num>
  <w:num w:numId="79">
    <w:abstractNumId w:val="1771634"/>
  </w:num>
  <w:num w:numId="80">
    <w:abstractNumId w:val="1771635"/>
  </w:num>
  <w:num w:numId="81">
    <w:abstractNumId w:val="1771636"/>
  </w:num>
  <w:num w:numId="82">
    <w:abstractNumId w:val="1771637"/>
  </w:num>
  <w:num w:numId="83">
    <w:abstractNumId w:val="1771638"/>
  </w:num>
  <w:num w:numId="84">
    <w:abstractNumId w:val="1771639"/>
  </w:num>
  <w:num w:numId="85">
    <w:abstractNumId w:val="177164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cname.vercel-dns.com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2026-05-30T02:27:53Z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{"Label":"1","ContentProducer":"001191110102MACQD9K64010000","ProduceID":"7645505914803899583","ReservedCode1":"","ContentPropagator":"","PropagateID":"","ReservedCode2":""}</vt:lpwstr>
  </property>
</Properties>
</file>