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504" w:rsidRPr="009B5DB6" w:rsidRDefault="009B5DB6" w:rsidP="009B5DB6">
      <w:pPr>
        <w:jc w:val="center"/>
        <w:rPr>
          <w:rFonts w:ascii="宋体" w:eastAsia="宋体" w:hAnsi="宋体"/>
          <w:sz w:val="30"/>
          <w:szCs w:val="30"/>
        </w:rPr>
      </w:pPr>
      <w:r w:rsidRPr="009B5DB6">
        <w:rPr>
          <w:rFonts w:ascii="宋体" w:eastAsia="宋体" w:hAnsi="宋体" w:hint="eastAsia"/>
          <w:sz w:val="30"/>
          <w:szCs w:val="30"/>
        </w:rPr>
        <w:t>2</w:t>
      </w:r>
      <w:r w:rsidRPr="009B5DB6">
        <w:rPr>
          <w:rFonts w:ascii="宋体" w:eastAsia="宋体" w:hAnsi="宋体"/>
          <w:sz w:val="30"/>
          <w:szCs w:val="30"/>
        </w:rPr>
        <w:t>020</w:t>
      </w:r>
      <w:r w:rsidRPr="009B5DB6">
        <w:rPr>
          <w:rFonts w:ascii="宋体" w:eastAsia="宋体" w:hAnsi="宋体" w:hint="eastAsia"/>
          <w:sz w:val="30"/>
          <w:szCs w:val="30"/>
        </w:rPr>
        <w:t>年收益率曲线变动原因初探</w:t>
      </w:r>
    </w:p>
    <w:p w:rsidR="00486504" w:rsidRDefault="00161FB0">
      <w:r>
        <w:rPr>
          <w:noProof/>
        </w:rPr>
        <w:drawing>
          <wp:inline distT="0" distB="0" distL="0" distR="0" wp14:anchorId="3D1539C8">
            <wp:extent cx="6622791" cy="3012141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851" cy="30167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6504" w:rsidRPr="009B5DB6" w:rsidRDefault="00486504" w:rsidP="009B5DB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9B5DB6">
        <w:rPr>
          <w:rFonts w:ascii="宋体" w:eastAsia="宋体" w:hAnsi="宋体" w:hint="eastAsia"/>
        </w:rPr>
        <w:t>国债利差整体走势</w:t>
      </w:r>
    </w:p>
    <w:p w:rsidR="00486504" w:rsidRPr="006A0CD6" w:rsidRDefault="00834A00" w:rsidP="009B5DB6">
      <w:pPr>
        <w:ind w:firstLineChars="200" w:firstLine="420"/>
        <w:rPr>
          <w:rFonts w:ascii="宋体" w:eastAsia="宋体" w:hAnsi="宋体"/>
        </w:rPr>
      </w:pPr>
      <w:r w:rsidRPr="006A0CD6">
        <w:rPr>
          <w:rFonts w:ascii="宋体" w:eastAsia="宋体" w:hAnsi="宋体" w:hint="eastAsia"/>
        </w:rPr>
        <w:t>今年年初至三月中</w:t>
      </w:r>
      <w:r w:rsidR="00B9376B">
        <w:rPr>
          <w:rFonts w:ascii="宋体" w:eastAsia="宋体" w:hAnsi="宋体" w:hint="eastAsia"/>
        </w:rPr>
        <w:t>的</w:t>
      </w:r>
      <w:r w:rsidR="00B9376B">
        <w:rPr>
          <w:rFonts w:ascii="宋体" w:eastAsia="宋体" w:hAnsi="宋体"/>
        </w:rPr>
        <w:t>71</w:t>
      </w:r>
      <w:r w:rsidR="00B9376B">
        <w:rPr>
          <w:rFonts w:ascii="宋体" w:eastAsia="宋体" w:hAnsi="宋体" w:hint="eastAsia"/>
        </w:rPr>
        <w:t>天</w:t>
      </w:r>
      <w:r w:rsidRPr="006A0CD6">
        <w:rPr>
          <w:rFonts w:ascii="宋体" w:eastAsia="宋体" w:hAnsi="宋体" w:hint="eastAsia"/>
        </w:rPr>
        <w:t>，无论是十年五年期利差还是十年两年期利差，</w:t>
      </w:r>
      <w:r w:rsidR="00852C4F" w:rsidRPr="006A0CD6">
        <w:rPr>
          <w:rFonts w:ascii="宋体" w:eastAsia="宋体" w:hAnsi="宋体" w:hint="eastAsia"/>
        </w:rPr>
        <w:t>都处在箱体震荡。然而十年五年期利差和十年两年期利差自三月下旬开始逐渐扩大，并分别于四月三十日和</w:t>
      </w:r>
      <w:r w:rsidR="00360B28" w:rsidRPr="006A0CD6">
        <w:rPr>
          <w:rFonts w:ascii="宋体" w:eastAsia="宋体" w:hAnsi="宋体" w:hint="eastAsia"/>
        </w:rPr>
        <w:t>五月二十一日达到最大值，随后两条利差开始缩窄，一路收窄至九月三日和九月九日达到最低点。此后两条利差迅速反弹后小幅震荡提升。总体</w:t>
      </w:r>
      <w:r w:rsidR="004C3459" w:rsidRPr="006A0CD6">
        <w:rPr>
          <w:rFonts w:ascii="宋体" w:eastAsia="宋体" w:hAnsi="宋体" w:hint="eastAsia"/>
        </w:rPr>
        <w:t>可以将今年至今的国债到期收益率曲线走势可以划分为牛陡，熊平和熊陡</w:t>
      </w:r>
      <w:r w:rsidR="00C917E0">
        <w:rPr>
          <w:rFonts w:ascii="宋体" w:eastAsia="宋体" w:hAnsi="宋体" w:hint="eastAsia"/>
        </w:rPr>
        <w:t>，分别延续了</w:t>
      </w:r>
      <w:r w:rsidR="00B9376B">
        <w:rPr>
          <w:rFonts w:ascii="宋体" w:eastAsia="宋体" w:hAnsi="宋体" w:hint="eastAsia"/>
        </w:rPr>
        <w:t>7</w:t>
      </w:r>
      <w:r w:rsidR="00B9376B">
        <w:rPr>
          <w:rFonts w:ascii="宋体" w:eastAsia="宋体" w:hAnsi="宋体"/>
        </w:rPr>
        <w:t>0</w:t>
      </w:r>
      <w:r w:rsidR="00B9376B">
        <w:rPr>
          <w:rFonts w:ascii="宋体" w:eastAsia="宋体" w:hAnsi="宋体" w:hint="eastAsia"/>
        </w:rPr>
        <w:t>天，1</w:t>
      </w:r>
      <w:r w:rsidR="00B9376B">
        <w:rPr>
          <w:rFonts w:ascii="宋体" w:eastAsia="宋体" w:hAnsi="宋体"/>
        </w:rPr>
        <w:t>05</w:t>
      </w:r>
      <w:r w:rsidR="00B9376B">
        <w:rPr>
          <w:rFonts w:ascii="宋体" w:eastAsia="宋体" w:hAnsi="宋体" w:hint="eastAsia"/>
        </w:rPr>
        <w:t>天和7</w:t>
      </w:r>
      <w:r w:rsidR="00B9376B">
        <w:rPr>
          <w:rFonts w:ascii="宋体" w:eastAsia="宋体" w:hAnsi="宋体"/>
        </w:rPr>
        <w:t>8</w:t>
      </w:r>
      <w:r w:rsidR="00B9376B">
        <w:rPr>
          <w:rFonts w:ascii="宋体" w:eastAsia="宋体" w:hAnsi="宋体" w:hint="eastAsia"/>
        </w:rPr>
        <w:t>天</w:t>
      </w:r>
      <w:r w:rsidR="004C3459" w:rsidRPr="006A0CD6">
        <w:rPr>
          <w:rFonts w:ascii="宋体" w:eastAsia="宋体" w:hAnsi="宋体" w:hint="eastAsia"/>
        </w:rPr>
        <w:t>。</w:t>
      </w:r>
      <w:r w:rsidR="006A0CD6" w:rsidRPr="006A0CD6">
        <w:rPr>
          <w:rFonts w:ascii="宋体" w:eastAsia="宋体" w:hAnsi="宋体" w:hint="eastAsia"/>
        </w:rPr>
        <w:t>这也符合期限利差在形态上以“</w:t>
      </w:r>
      <w:r w:rsidR="006A0CD6">
        <w:rPr>
          <w:rFonts w:ascii="宋体" w:eastAsia="宋体" w:hAnsi="宋体" w:hint="eastAsia"/>
        </w:rPr>
        <w:t>牛陡</w:t>
      </w:r>
      <w:r w:rsidR="006A0CD6" w:rsidRPr="006A0CD6">
        <w:rPr>
          <w:rFonts w:ascii="宋体" w:eastAsia="宋体" w:hAnsi="宋体" w:hint="eastAsia"/>
        </w:rPr>
        <w:t>”</w:t>
      </w:r>
      <w:r w:rsidR="006A0CD6">
        <w:rPr>
          <w:rFonts w:ascii="宋体" w:eastAsia="宋体" w:hAnsi="宋体" w:hint="eastAsia"/>
        </w:rPr>
        <w:t>和“熊平”为主，少部分出现“牛平”和“熊陡”的特征。</w:t>
      </w:r>
    </w:p>
    <w:p w:rsidR="00486504" w:rsidRPr="009B5DB6" w:rsidRDefault="00B9376B" w:rsidP="009B5DB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9B5DB6">
        <w:rPr>
          <w:rFonts w:ascii="宋体" w:eastAsia="宋体" w:hAnsi="宋体" w:hint="eastAsia"/>
        </w:rPr>
        <w:t>形成原因</w:t>
      </w:r>
    </w:p>
    <w:p w:rsidR="00B9376B" w:rsidRDefault="00B9376B" w:rsidP="009B5DB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从图形和理论上来看，</w:t>
      </w:r>
      <w:r w:rsidR="00523CBC">
        <w:rPr>
          <w:rFonts w:ascii="宋体" w:eastAsia="宋体" w:hAnsi="宋体" w:hint="eastAsia"/>
        </w:rPr>
        <w:t>期限利差的变化主要是由于短期</w:t>
      </w:r>
      <w:r w:rsidR="002A582B">
        <w:rPr>
          <w:rFonts w:ascii="宋体" w:eastAsia="宋体" w:hAnsi="宋体" w:hint="eastAsia"/>
        </w:rPr>
        <w:t>利率波动，而短期利率则与货币政策变化和流动性松紧密切相关。</w:t>
      </w:r>
    </w:p>
    <w:p w:rsidR="00282A90" w:rsidRDefault="00030A3D" w:rsidP="009B5DB6">
      <w:pPr>
        <w:ind w:firstLineChars="200" w:firstLine="420"/>
        <w:rPr>
          <w:rFonts w:ascii="宋体" w:eastAsia="宋体" w:hAnsi="宋体"/>
        </w:rPr>
      </w:pPr>
      <w:r w:rsidRPr="00030A3D">
        <w:rPr>
          <w:rFonts w:ascii="宋体" w:eastAsia="宋体" w:hAnsi="宋体" w:hint="eastAsia"/>
        </w:rPr>
        <w:t>短期利率对收益率曲线的影响比长期利率更明显。</w:t>
      </w:r>
      <w:r>
        <w:rPr>
          <w:rFonts w:ascii="宋体" w:eastAsia="宋体" w:hAnsi="宋体" w:hint="eastAsia"/>
        </w:rPr>
        <w:t>指标贡献率（贡献率=</w:t>
      </w:r>
      <w:r>
        <w:rPr>
          <w:rFonts w:ascii="宋体" w:eastAsia="宋体" w:hAnsi="宋体"/>
        </w:rPr>
        <w:t>-2Y</w:t>
      </w:r>
      <w:r>
        <w:rPr>
          <w:rFonts w:ascii="宋体" w:eastAsia="宋体" w:hAnsi="宋体" w:hint="eastAsia"/>
        </w:rPr>
        <w:t>国债收益率变动（B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）/利差变化（B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））用来表示短期利率对期限利差变化的贡献率。</w:t>
      </w:r>
      <w:r w:rsidR="009D3AA7">
        <w:rPr>
          <w:rFonts w:ascii="宋体" w:eastAsia="宋体" w:hAnsi="宋体" w:hint="eastAsia"/>
        </w:rPr>
        <w:t>按自然周划分2</w:t>
      </w:r>
      <w:r w:rsidR="009D3AA7">
        <w:rPr>
          <w:rFonts w:ascii="宋体" w:eastAsia="宋体" w:hAnsi="宋体"/>
        </w:rPr>
        <w:t>020</w:t>
      </w:r>
      <w:r w:rsidR="009D3AA7">
        <w:rPr>
          <w:rFonts w:ascii="宋体" w:eastAsia="宋体" w:hAnsi="宋体" w:hint="eastAsia"/>
        </w:rPr>
        <w:t>年1月2日至2</w:t>
      </w:r>
      <w:r w:rsidR="009D3AA7">
        <w:rPr>
          <w:rFonts w:ascii="宋体" w:eastAsia="宋体" w:hAnsi="宋体"/>
        </w:rPr>
        <w:t>020</w:t>
      </w:r>
      <w:r w:rsidR="009D3AA7">
        <w:rPr>
          <w:rFonts w:ascii="宋体" w:eastAsia="宋体" w:hAnsi="宋体" w:hint="eastAsia"/>
        </w:rPr>
        <w:t>年1</w:t>
      </w:r>
      <w:r w:rsidR="009D3AA7">
        <w:rPr>
          <w:rFonts w:ascii="宋体" w:eastAsia="宋体" w:hAnsi="宋体"/>
        </w:rPr>
        <w:t>1</w:t>
      </w:r>
      <w:r w:rsidR="009D3AA7">
        <w:rPr>
          <w:rFonts w:ascii="宋体" w:eastAsia="宋体" w:hAnsi="宋体" w:hint="eastAsia"/>
        </w:rPr>
        <w:t>月1</w:t>
      </w:r>
      <w:r w:rsidR="009D3AA7">
        <w:rPr>
          <w:rFonts w:ascii="宋体" w:eastAsia="宋体" w:hAnsi="宋体"/>
        </w:rPr>
        <w:t>3</w:t>
      </w:r>
      <w:r w:rsidR="009D3AA7">
        <w:rPr>
          <w:rFonts w:ascii="宋体" w:eastAsia="宋体" w:hAnsi="宋体" w:hint="eastAsia"/>
        </w:rPr>
        <w:t>日，共计</w:t>
      </w:r>
      <w:r w:rsidR="009D3AA7">
        <w:rPr>
          <w:rFonts w:ascii="宋体" w:eastAsia="宋体" w:hAnsi="宋体"/>
        </w:rPr>
        <w:t>46</w:t>
      </w:r>
      <w:r w:rsidR="009D3AA7">
        <w:rPr>
          <w:rFonts w:ascii="宋体" w:eastAsia="宋体" w:hAnsi="宋体" w:hint="eastAsia"/>
        </w:rPr>
        <w:t>周，其中短期利率对于十年和两年期利差变化的贡献率达到5</w:t>
      </w:r>
      <w:r w:rsidR="009D3AA7">
        <w:rPr>
          <w:rFonts w:ascii="宋体" w:eastAsia="宋体" w:hAnsi="宋体"/>
        </w:rPr>
        <w:t>0</w:t>
      </w:r>
      <w:r w:rsidR="009D3AA7">
        <w:rPr>
          <w:rFonts w:ascii="宋体" w:eastAsia="宋体" w:hAnsi="宋体" w:hint="eastAsia"/>
        </w:rPr>
        <w:t>%以上的周数达到3</w:t>
      </w:r>
      <w:r w:rsidR="009D3AA7">
        <w:rPr>
          <w:rFonts w:ascii="宋体" w:eastAsia="宋体" w:hAnsi="宋体"/>
        </w:rPr>
        <w:t>5</w:t>
      </w:r>
      <w:r w:rsidR="009D3AA7">
        <w:rPr>
          <w:rFonts w:ascii="宋体" w:eastAsia="宋体" w:hAnsi="宋体" w:hint="eastAsia"/>
        </w:rPr>
        <w:t>周，占比达到了7</w:t>
      </w:r>
      <w:r w:rsidR="009D3AA7">
        <w:rPr>
          <w:rFonts w:ascii="宋体" w:eastAsia="宋体" w:hAnsi="宋体"/>
        </w:rPr>
        <w:t>6</w:t>
      </w:r>
      <w:r w:rsidR="009D3AA7">
        <w:rPr>
          <w:rFonts w:ascii="宋体" w:eastAsia="宋体" w:hAnsi="宋体" w:hint="eastAsia"/>
        </w:rPr>
        <w:t>%。短期利率对于十年和五年期利差变化的贡献率达到5</w:t>
      </w:r>
      <w:r w:rsidR="009D3AA7">
        <w:rPr>
          <w:rFonts w:ascii="宋体" w:eastAsia="宋体" w:hAnsi="宋体"/>
        </w:rPr>
        <w:t>0</w:t>
      </w:r>
      <w:r w:rsidR="009D3AA7">
        <w:rPr>
          <w:rFonts w:ascii="宋体" w:eastAsia="宋体" w:hAnsi="宋体" w:hint="eastAsia"/>
        </w:rPr>
        <w:t>%以上的周数有4</w:t>
      </w:r>
      <w:r w:rsidR="009D3AA7">
        <w:rPr>
          <w:rFonts w:ascii="宋体" w:eastAsia="宋体" w:hAnsi="宋体"/>
        </w:rPr>
        <w:t>0</w:t>
      </w:r>
      <w:r w:rsidR="009D3AA7">
        <w:rPr>
          <w:rFonts w:ascii="宋体" w:eastAsia="宋体" w:hAnsi="宋体" w:hint="eastAsia"/>
        </w:rPr>
        <w:t>周，占比达到了8</w:t>
      </w:r>
      <w:r w:rsidR="009D3AA7">
        <w:rPr>
          <w:rFonts w:ascii="宋体" w:eastAsia="宋体" w:hAnsi="宋体"/>
        </w:rPr>
        <w:t>7</w:t>
      </w:r>
      <w:r w:rsidR="009D3AA7">
        <w:rPr>
          <w:rFonts w:ascii="宋体" w:eastAsia="宋体" w:hAnsi="宋体" w:hint="eastAsia"/>
        </w:rPr>
        <w:t>%。</w:t>
      </w:r>
    </w:p>
    <w:p w:rsidR="0079467D" w:rsidRPr="006A0CD6" w:rsidRDefault="00282A90" w:rsidP="009B5DB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短期利率主要受到资金价格的影响。</w:t>
      </w:r>
      <w:r w:rsidR="0073186E">
        <w:rPr>
          <w:rFonts w:ascii="宋体" w:eastAsia="宋体" w:hAnsi="宋体" w:hint="eastAsia"/>
        </w:rPr>
        <w:t>一般来说资金价格高居不下，会使得收益率曲线过于平坦。</w:t>
      </w:r>
      <w:r>
        <w:rPr>
          <w:rFonts w:ascii="宋体" w:eastAsia="宋体" w:hAnsi="宋体" w:hint="eastAsia"/>
        </w:rPr>
        <w:t>而资金价格</w:t>
      </w:r>
      <w:r w:rsidR="001357B1">
        <w:rPr>
          <w:rFonts w:ascii="宋体" w:eastAsia="宋体" w:hAnsi="宋体" w:hint="eastAsia"/>
        </w:rPr>
        <w:t>一般以银行间质押式回购加权利率作为代表，但隔夜质押式回购利率的变动较大，所以选择</w:t>
      </w:r>
      <w:r w:rsidR="002373C9">
        <w:rPr>
          <w:rFonts w:ascii="宋体" w:eastAsia="宋体" w:hAnsi="宋体" w:hint="eastAsia"/>
        </w:rPr>
        <w:t>平滑五天的隔夜质押式回购利率。今年前五个月的短期国债到期收益率与</w:t>
      </w:r>
      <w:r w:rsidR="001A4417">
        <w:rPr>
          <w:rFonts w:ascii="宋体" w:eastAsia="宋体" w:hAnsi="宋体" w:hint="eastAsia"/>
        </w:rPr>
        <w:t>平滑五天的隔夜质押式回购利率的价格走势相关性较大，但是近期尤其是九月份至今，短期资金价格的变动对两年期的国债到期收益率影响不再显著。</w:t>
      </w:r>
    </w:p>
    <w:p w:rsidR="0079467D" w:rsidRPr="006A0CD6" w:rsidRDefault="00161FB0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24C62529">
            <wp:extent cx="6623685" cy="2727831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89" cy="27354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467D" w:rsidRPr="006A0CD6" w:rsidRDefault="00161FB0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lastRenderedPageBreak/>
        <w:drawing>
          <wp:inline distT="0" distB="0" distL="0" distR="0" wp14:anchorId="4128988E">
            <wp:extent cx="6624000" cy="2530267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0" cy="25302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467D" w:rsidRDefault="0028174B" w:rsidP="009B5DB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今年6月9日，财新网报道称，6月起个中大型银行陆续受到了银保监会的窗口指导，要求规范结构性存款管理，继续压降结构性存款规模</w:t>
      </w:r>
      <w:r w:rsidRPr="0028174B">
        <w:rPr>
          <w:rFonts w:ascii="宋体" w:eastAsia="宋体" w:hAnsi="宋体" w:hint="eastAsia"/>
        </w:rPr>
        <w:t>，在</w:t>
      </w:r>
      <w:r w:rsidRPr="0028174B">
        <w:rPr>
          <w:rFonts w:ascii="宋体" w:eastAsia="宋体" w:hAnsi="宋体"/>
        </w:rPr>
        <w:t xml:space="preserve"> 9 月底前压降至年初规模，并在年底前</w:t>
      </w:r>
      <w:r w:rsidRPr="0028174B">
        <w:rPr>
          <w:rFonts w:ascii="宋体" w:eastAsia="宋体" w:hAnsi="宋体" w:hint="eastAsia"/>
        </w:rPr>
        <w:t>逐步压降至年初规模的三分之二。</w:t>
      </w:r>
      <w:r>
        <w:rPr>
          <w:rFonts w:ascii="宋体" w:eastAsia="宋体" w:hAnsi="宋体" w:hint="eastAsia"/>
        </w:rPr>
        <w:t>其中年初的结构性存款为9</w:t>
      </w:r>
      <w:r>
        <w:rPr>
          <w:rFonts w:ascii="宋体" w:eastAsia="宋体" w:hAnsi="宋体"/>
        </w:rPr>
        <w:t>.60</w:t>
      </w:r>
      <w:r>
        <w:rPr>
          <w:rFonts w:ascii="宋体" w:eastAsia="宋体" w:hAnsi="宋体" w:hint="eastAsia"/>
        </w:rPr>
        <w:t>万亿元，峰值在2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年4月末达到1</w:t>
      </w:r>
      <w:r>
        <w:rPr>
          <w:rFonts w:ascii="宋体" w:eastAsia="宋体" w:hAnsi="宋体"/>
        </w:rPr>
        <w:t>2.14</w:t>
      </w:r>
      <w:r>
        <w:rPr>
          <w:rFonts w:ascii="宋体" w:eastAsia="宋体" w:hAnsi="宋体" w:hint="eastAsia"/>
        </w:rPr>
        <w:t>万亿元。</w:t>
      </w:r>
      <w:r w:rsidR="00520F4D">
        <w:rPr>
          <w:rFonts w:ascii="宋体" w:eastAsia="宋体" w:hAnsi="宋体" w:hint="eastAsia"/>
        </w:rPr>
        <w:t>压降结构性存款导致了中小行负债端压力加大，压降规模的银行失去稳定长期资金，进而只能通过存单、金融债等方式来补充。今年六月起至今的市场同业存单加量同涨正是这一效应的直接表现。</w:t>
      </w:r>
    </w:p>
    <w:p w:rsidR="009B5DB6" w:rsidRDefault="00D559B3" w:rsidP="009B5DB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020</w:t>
      </w:r>
      <w:r>
        <w:rPr>
          <w:rFonts w:ascii="宋体" w:eastAsia="宋体" w:hAnsi="宋体" w:hint="eastAsia"/>
        </w:rPr>
        <w:t>年1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月1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日，</w:t>
      </w:r>
      <w:r w:rsidR="00520F4D">
        <w:rPr>
          <w:rFonts w:ascii="宋体" w:eastAsia="宋体" w:hAnsi="宋体" w:hint="eastAsia"/>
        </w:rPr>
        <w:t>永煤</w:t>
      </w:r>
      <w:r>
        <w:rPr>
          <w:rFonts w:ascii="宋体" w:eastAsia="宋体" w:hAnsi="宋体" w:hint="eastAsia"/>
        </w:rPr>
        <w:t>未能按期足额兑付“2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永煤S</w:t>
      </w:r>
      <w:r>
        <w:rPr>
          <w:rFonts w:ascii="宋体" w:eastAsia="宋体" w:hAnsi="宋体"/>
        </w:rPr>
        <w:t>CP003</w:t>
      </w:r>
      <w:r>
        <w:rPr>
          <w:rFonts w:ascii="宋体" w:eastAsia="宋体" w:hAnsi="宋体" w:hint="eastAsia"/>
        </w:rPr>
        <w:t>”。从而当周至下周的1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月2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日，债基赎回导致一方面交易心态谨慎，另一方面信用债抛售流动性不畅，只能抛售利率债，导致利率债的到期收益率大幅上行。</w:t>
      </w:r>
      <w:r w:rsidR="009B5DB6">
        <w:rPr>
          <w:rFonts w:ascii="宋体" w:eastAsia="宋体" w:hAnsi="宋体" w:hint="eastAsia"/>
        </w:rPr>
        <w:t>从下图中可以看出虽然国债交易的总量变化不大，但是从1</w:t>
      </w:r>
      <w:r w:rsidR="009B5DB6">
        <w:rPr>
          <w:rFonts w:ascii="宋体" w:eastAsia="宋体" w:hAnsi="宋体"/>
        </w:rPr>
        <w:t>1</w:t>
      </w:r>
      <w:r w:rsidR="009B5DB6">
        <w:rPr>
          <w:rFonts w:ascii="宋体" w:eastAsia="宋体" w:hAnsi="宋体" w:hint="eastAsia"/>
        </w:rPr>
        <w:t>月1</w:t>
      </w:r>
      <w:r w:rsidR="009B5DB6">
        <w:rPr>
          <w:rFonts w:ascii="宋体" w:eastAsia="宋体" w:hAnsi="宋体"/>
        </w:rPr>
        <w:t>0</w:t>
      </w:r>
      <w:r w:rsidR="009B5DB6">
        <w:rPr>
          <w:rFonts w:ascii="宋体" w:eastAsia="宋体" w:hAnsi="宋体" w:hint="eastAsia"/>
        </w:rPr>
        <w:t>日起，5年以内的中短期国债交易的比例占比较大，而5年期以上的中长期国债交易占比有所缩小。这可能是由于本轮抛售利率债的主力以中短久期为主，卖盘对于短久期的品种影响更大，导致中短期国债利率上涨的幅度较中长期国债利率更大，从而导致近期国债利差小幅下降。然而随着债市企稳，抛售潮退却，期限利差回落的态势也将暂停，而期限利差向均值回复的进程将继续。</w:t>
      </w:r>
    </w:p>
    <w:p w:rsidR="002373C9" w:rsidRDefault="009B5DB6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29C0277C">
            <wp:extent cx="6624000" cy="3303895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0" cy="330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73C9" w:rsidRDefault="00C80C9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020</w:t>
      </w:r>
      <w:r>
        <w:rPr>
          <w:rFonts w:ascii="宋体" w:eastAsia="宋体" w:hAnsi="宋体" w:hint="eastAsia"/>
        </w:rPr>
        <w:t>年1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月2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日，永煤流动性危机逐渐消退，长端利率由于基本面向好压制继续高位震荡，而短端利率由于流动性充裕逐渐下行，期限利差继续向均值回复。</w:t>
      </w:r>
      <w:bookmarkStart w:id="0" w:name="_GoBack"/>
      <w:bookmarkEnd w:id="0"/>
    </w:p>
    <w:p w:rsidR="002373C9" w:rsidRPr="006A0CD6" w:rsidRDefault="002373C9">
      <w:pPr>
        <w:rPr>
          <w:rFonts w:ascii="宋体" w:eastAsia="宋体" w:hAnsi="宋体"/>
        </w:rPr>
      </w:pPr>
    </w:p>
    <w:p w:rsidR="00486504" w:rsidRPr="006A0CD6" w:rsidRDefault="00486504">
      <w:pPr>
        <w:rPr>
          <w:rFonts w:ascii="宋体" w:eastAsia="宋体" w:hAnsi="宋体"/>
        </w:rPr>
      </w:pPr>
    </w:p>
    <w:p w:rsidR="00775DBF" w:rsidRPr="006A0CD6" w:rsidRDefault="00775DBF">
      <w:pPr>
        <w:rPr>
          <w:rFonts w:ascii="宋体" w:eastAsia="宋体" w:hAnsi="宋体"/>
        </w:rPr>
      </w:pPr>
    </w:p>
    <w:sectPr w:rsidR="00775DBF" w:rsidRPr="006A0CD6" w:rsidSect="0048650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5802" w:rsidRDefault="00085802" w:rsidP="00161FB0">
      <w:r>
        <w:separator/>
      </w:r>
    </w:p>
  </w:endnote>
  <w:endnote w:type="continuationSeparator" w:id="0">
    <w:p w:rsidR="00085802" w:rsidRDefault="00085802" w:rsidP="00161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5802" w:rsidRDefault="00085802" w:rsidP="00161FB0">
      <w:r>
        <w:separator/>
      </w:r>
    </w:p>
  </w:footnote>
  <w:footnote w:type="continuationSeparator" w:id="0">
    <w:p w:rsidR="00085802" w:rsidRDefault="00085802" w:rsidP="00161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25A4E"/>
    <w:multiLevelType w:val="hybridMultilevel"/>
    <w:tmpl w:val="9A20450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04"/>
    <w:rsid w:val="00030A3D"/>
    <w:rsid w:val="00085802"/>
    <w:rsid w:val="001357B1"/>
    <w:rsid w:val="00161FB0"/>
    <w:rsid w:val="001A4417"/>
    <w:rsid w:val="002373C9"/>
    <w:rsid w:val="00280A3A"/>
    <w:rsid w:val="0028174B"/>
    <w:rsid w:val="00282A90"/>
    <w:rsid w:val="002A582B"/>
    <w:rsid w:val="00360B28"/>
    <w:rsid w:val="00465863"/>
    <w:rsid w:val="00486504"/>
    <w:rsid w:val="004C3459"/>
    <w:rsid w:val="00520F4D"/>
    <w:rsid w:val="00523CBC"/>
    <w:rsid w:val="006A0CD6"/>
    <w:rsid w:val="0073186E"/>
    <w:rsid w:val="00775DBF"/>
    <w:rsid w:val="00781259"/>
    <w:rsid w:val="0079467D"/>
    <w:rsid w:val="00834A00"/>
    <w:rsid w:val="00852C4F"/>
    <w:rsid w:val="009B5DB6"/>
    <w:rsid w:val="009D3AA7"/>
    <w:rsid w:val="00B9376B"/>
    <w:rsid w:val="00BC6C78"/>
    <w:rsid w:val="00C80C91"/>
    <w:rsid w:val="00C917E0"/>
    <w:rsid w:val="00D559B3"/>
    <w:rsid w:val="00E3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FFE3E"/>
  <w15:chartTrackingRefBased/>
  <w15:docId w15:val="{C66E9D6B-268B-4BF7-B09B-E9D28C60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D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61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1FB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1F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1F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2020-11-20T03:27:00Z</dcterms:created>
  <dcterms:modified xsi:type="dcterms:W3CDTF">2020-12-18T03:37:00Z</dcterms:modified>
</cp:coreProperties>
</file>