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42AD0">
      <w:pPr>
        <w:pStyle w:val="2"/>
        <w:bidi w:val="0"/>
        <w:rPr>
          <w:rFonts w:hint="eastAsia"/>
          <w:lang w:val="en-US" w:eastAsia="zh-CN"/>
        </w:rPr>
      </w:pPr>
      <w:r>
        <w:rPr>
          <w:rFonts w:hint="eastAsia"/>
          <w:lang w:val="en-US" w:eastAsia="zh-CN"/>
        </w:rPr>
        <w:t>优质交易员学习笔记</w:t>
      </w:r>
    </w:p>
    <w:p w14:paraId="1937811A">
      <w:pPr>
        <w:numPr>
          <w:ilvl w:val="0"/>
          <w:numId w:val="1"/>
        </w:numPr>
        <w:ind w:left="0" w:leftChars="0" w:firstLine="420" w:firstLineChars="0"/>
        <w:rPr>
          <w:rFonts w:hint="default"/>
          <w:lang w:val="en-US" w:eastAsia="zh-CN"/>
        </w:rPr>
      </w:pPr>
      <w:r>
        <w:rPr>
          <w:rFonts w:hint="default"/>
          <w:lang w:val="en-US" w:eastAsia="zh-CN"/>
        </w:rPr>
        <w:t>半木夏</w:t>
      </w:r>
    </w:p>
    <w:p w14:paraId="6A4A5CA0">
      <w:pPr>
        <w:numPr>
          <w:ilvl w:val="0"/>
          <w:numId w:val="1"/>
        </w:numPr>
        <w:ind w:left="0" w:leftChars="0" w:firstLine="420" w:firstLineChars="0"/>
        <w:rPr>
          <w:rFonts w:hint="default"/>
          <w:lang w:val="en-US" w:eastAsia="zh-CN"/>
        </w:rPr>
      </w:pPr>
      <w:r>
        <w:rPr>
          <w:rFonts w:hint="default"/>
          <w:lang w:val="en-US" w:eastAsia="zh-CN"/>
        </w:rPr>
        <w:t>Kristjan Kullamagi</w:t>
      </w:r>
    </w:p>
    <w:p w14:paraId="191664EF">
      <w:pPr>
        <w:numPr>
          <w:ilvl w:val="0"/>
          <w:numId w:val="1"/>
        </w:numPr>
        <w:ind w:left="0" w:leftChars="0" w:firstLine="420" w:firstLineChars="0"/>
        <w:rPr>
          <w:rFonts w:hint="default"/>
          <w:lang w:val="en-US" w:eastAsia="zh-CN"/>
        </w:rPr>
      </w:pPr>
      <w:r>
        <w:rPr>
          <w:rFonts w:hint="default"/>
          <w:lang w:val="en-US" w:eastAsia="zh-CN"/>
        </w:rPr>
        <w:t>Fligt</w:t>
      </w:r>
    </w:p>
    <w:p w14:paraId="46F024D9">
      <w:pPr>
        <w:numPr>
          <w:ilvl w:val="0"/>
          <w:numId w:val="1"/>
        </w:numPr>
        <w:ind w:left="0" w:leftChars="0" w:firstLine="420" w:firstLineChars="0"/>
        <w:rPr>
          <w:rFonts w:hint="default"/>
          <w:lang w:val="en-US" w:eastAsia="zh-CN"/>
        </w:rPr>
      </w:pPr>
      <w:r>
        <w:rPr>
          <w:rFonts w:hint="default"/>
          <w:lang w:val="en-US" w:eastAsia="zh-CN"/>
        </w:rPr>
        <w:t>Umar Ashraf</w:t>
      </w:r>
    </w:p>
    <w:p w14:paraId="5D079A3B">
      <w:pPr>
        <w:numPr>
          <w:ilvl w:val="0"/>
          <w:numId w:val="1"/>
        </w:numPr>
        <w:ind w:left="0" w:leftChars="0" w:firstLine="420" w:firstLineChars="0"/>
        <w:rPr>
          <w:rFonts w:hint="default"/>
          <w:lang w:val="en-US" w:eastAsia="zh-CN"/>
        </w:rPr>
      </w:pPr>
      <w:r>
        <w:rPr>
          <w:rFonts w:hint="default"/>
          <w:lang w:val="en-US" w:eastAsia="zh-CN"/>
        </w:rPr>
        <w:t>BNF</w:t>
      </w:r>
    </w:p>
    <w:p w14:paraId="73CCF656">
      <w:pPr>
        <w:numPr>
          <w:numId w:val="0"/>
        </w:numPr>
        <w:ind w:left="420" w:leftChars="0"/>
        <w:rPr>
          <w:rFonts w:hint="default"/>
          <w:lang w:val="en-US" w:eastAsia="zh-CN"/>
        </w:rPr>
      </w:pPr>
      <w:r>
        <w:rPr>
          <w:rFonts w:hint="eastAsia"/>
          <w:lang w:val="en-US" w:eastAsia="zh-CN"/>
        </w:rPr>
        <w:t>策略：逆向投资策略，查看哪些偏离实际基本面价值较远的资产，从中赚取差价。</w:t>
      </w:r>
    </w:p>
    <w:p w14:paraId="75C3442B">
      <w:pPr>
        <w:numPr>
          <w:numId w:val="0"/>
        </w:numPr>
        <w:ind w:left="420" w:leftChars="0"/>
        <w:rPr>
          <w:rFonts w:hint="eastAsia"/>
          <w:lang w:val="en-US" w:eastAsia="zh-CN"/>
        </w:rPr>
      </w:pPr>
      <w:r>
        <w:rPr>
          <w:rFonts w:hint="eastAsia"/>
          <w:lang w:val="en-US" w:eastAsia="zh-CN"/>
        </w:rPr>
        <w:t>核心思想：市场往往会存在过度反映，导致资产偏离基本面价值。根据市场的偏见来赚钱。</w:t>
      </w:r>
    </w:p>
    <w:p w14:paraId="6AF61FE0">
      <w:pPr>
        <w:numPr>
          <w:numId w:val="0"/>
        </w:numPr>
        <w:ind w:left="420" w:leftChars="0"/>
        <w:rPr>
          <w:rFonts w:hint="eastAsia"/>
          <w:lang w:val="en-US" w:eastAsia="zh-CN"/>
        </w:rPr>
      </w:pPr>
      <w:r>
        <w:rPr>
          <w:rFonts w:hint="eastAsia"/>
          <w:lang w:val="en-US" w:eastAsia="zh-CN"/>
        </w:rPr>
        <w:t>对投资人能力要求：</w:t>
      </w:r>
    </w:p>
    <w:p w14:paraId="71A4BB72">
      <w:pPr>
        <w:numPr>
          <w:numId w:val="0"/>
        </w:numPr>
        <w:ind w:left="420" w:leftChars="0" w:firstLine="420" w:firstLineChars="0"/>
        <w:rPr>
          <w:rFonts w:hint="eastAsia"/>
          <w:lang w:val="en-US" w:eastAsia="zh-CN"/>
        </w:rPr>
      </w:pPr>
      <w:r>
        <w:rPr>
          <w:rFonts w:hint="eastAsia"/>
          <w:lang w:val="en-US" w:eastAsia="zh-CN"/>
        </w:rPr>
        <w:t>保持乐观</w:t>
      </w:r>
    </w:p>
    <w:p w14:paraId="3B41D866">
      <w:pPr>
        <w:numPr>
          <w:numId w:val="0"/>
        </w:numPr>
        <w:ind w:left="420" w:leftChars="0" w:firstLine="420" w:firstLineChars="0"/>
        <w:rPr>
          <w:rFonts w:hint="default"/>
          <w:lang w:val="en-US" w:eastAsia="zh-CN"/>
        </w:rPr>
      </w:pPr>
      <w:r>
        <w:rPr>
          <w:rFonts w:hint="eastAsia"/>
          <w:lang w:val="en-US" w:eastAsia="zh-CN"/>
        </w:rPr>
        <w:t>花费大量的时间来研究</w:t>
      </w:r>
    </w:p>
    <w:tbl>
      <w:tblPr>
        <w:tblStyle w:val="4"/>
        <w:tblW w:w="0" w:type="auto"/>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18"/>
      </w:tblGrid>
      <w:tr w14:paraId="3240B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8" w:type="dxa"/>
          </w:tcPr>
          <w:p w14:paraId="697A3A4D">
            <w:pPr>
              <w:numPr>
                <w:numId w:val="0"/>
              </w:numPr>
              <w:rPr>
                <w:rFonts w:hint="default"/>
                <w:vertAlign w:val="baseline"/>
                <w:lang w:val="en-US" w:eastAsia="zh-CN"/>
              </w:rPr>
            </w:pPr>
            <w:r>
              <w:rPr>
                <w:rFonts w:hint="eastAsia"/>
                <w:vertAlign w:val="baseline"/>
                <w:lang w:val="en-US" w:eastAsia="zh-CN"/>
              </w:rPr>
              <w:t>常用指标</w:t>
            </w:r>
          </w:p>
          <w:p w14:paraId="25C29A82">
            <w:pPr>
              <w:numPr>
                <w:numId w:val="0"/>
              </w:numPr>
              <w:rPr>
                <w:rFonts w:hint="default"/>
                <w:vertAlign w:val="baseline"/>
                <w:lang w:val="en-US" w:eastAsia="zh-CN"/>
              </w:rPr>
            </w:pPr>
            <w:r>
              <w:rPr>
                <w:rFonts w:hint="default"/>
                <w:vertAlign w:val="baseline"/>
                <w:lang w:val="en-US" w:eastAsia="zh-CN"/>
              </w:rPr>
              <w:t>在逆向投资中，BNF主要通过观察股票的</w:t>
            </w:r>
            <w:r>
              <w:rPr>
                <w:rFonts w:hint="default"/>
                <w:highlight w:val="red"/>
                <w:vertAlign w:val="baseline"/>
                <w:lang w:val="en-US" w:eastAsia="zh-CN"/>
              </w:rPr>
              <w:t>25日移动平均线偏离率</w:t>
            </w:r>
            <w:r>
              <w:rPr>
                <w:rFonts w:hint="default"/>
                <w:vertAlign w:val="baseline"/>
                <w:lang w:val="en-US" w:eastAsia="zh-CN"/>
              </w:rPr>
              <w:t>，找到偏离率较大的负值标的(价格在移动平均线下方)进行购买。移动平均线偏离率可以告诉我们价格与其移动平均线之间的差距，从而可以帮助我们判断市场当前的趋势和价格是否偏离正常水平。如果偏离率超过了设定的阈值，可以会认为价格已经超过正常水平，需要注意风险。</w:t>
            </w:r>
          </w:p>
          <w:p w14:paraId="671B6851">
            <w:pPr>
              <w:numPr>
                <w:numId w:val="0"/>
              </w:numPr>
              <w:rPr>
                <w:rFonts w:hint="default"/>
                <w:vertAlign w:val="baseline"/>
                <w:lang w:val="en-US" w:eastAsia="zh-CN"/>
              </w:rPr>
            </w:pPr>
            <w:r>
              <w:rPr>
                <w:rFonts w:hint="default"/>
                <w:vertAlign w:val="baseline"/>
                <w:lang w:val="en-US" w:eastAsia="zh-CN"/>
              </w:rPr>
              <w:t>BNF认为，对于大型股/小型股/以及不同行业，作为入场时机指标的偏离率存在着差异这是当时他总结的入场参考数值:(波动大的标的自己总结需要)药品:约5~10%证券:约5~10%</w:t>
            </w:r>
          </w:p>
          <w:p w14:paraId="5D6DB7F5">
            <w:pPr>
              <w:numPr>
                <w:numId w:val="0"/>
              </w:numPr>
              <w:rPr>
                <w:rFonts w:hint="default"/>
                <w:vertAlign w:val="baseline"/>
                <w:lang w:val="en-US" w:eastAsia="zh-CN"/>
              </w:rPr>
            </w:pPr>
            <w:r>
              <w:rPr>
                <w:rFonts w:hint="default"/>
                <w:vertAlign w:val="baseline"/>
                <w:lang w:val="en-US" w:eastAsia="zh-CN"/>
              </w:rPr>
              <w:t>食品:约7~10%</w:t>
            </w:r>
          </w:p>
          <w:p w14:paraId="3F2B4596">
            <w:pPr>
              <w:numPr>
                <w:numId w:val="0"/>
              </w:numPr>
              <w:rPr>
                <w:rFonts w:hint="default"/>
                <w:vertAlign w:val="baseline"/>
                <w:lang w:val="en-US" w:eastAsia="zh-CN"/>
              </w:rPr>
            </w:pPr>
            <w:r>
              <w:rPr>
                <w:rFonts w:hint="default"/>
                <w:vertAlign w:val="baseline"/>
                <w:lang w:val="en-US" w:eastAsia="zh-CN"/>
              </w:rPr>
              <w:t>化学:约7~10%</w:t>
            </w:r>
          </w:p>
          <w:p w14:paraId="3DD44CF2">
            <w:pPr>
              <w:numPr>
                <w:numId w:val="0"/>
              </w:numPr>
              <w:rPr>
                <w:rFonts w:hint="default"/>
                <w:vertAlign w:val="baseline"/>
                <w:lang w:val="en-US" w:eastAsia="zh-CN"/>
              </w:rPr>
            </w:pPr>
            <w:r>
              <w:rPr>
                <w:rFonts w:hint="default"/>
                <w:vertAlign w:val="baseline"/>
                <w:lang w:val="en-US" w:eastAsia="zh-CN"/>
              </w:rPr>
              <w:t>电机:约10~15%</w:t>
            </w:r>
          </w:p>
          <w:p w14:paraId="0014393C">
            <w:pPr>
              <w:numPr>
                <w:numId w:val="0"/>
              </w:numPr>
              <w:rPr>
                <w:rFonts w:hint="default"/>
                <w:vertAlign w:val="baseline"/>
                <w:lang w:val="en-US" w:eastAsia="zh-CN"/>
              </w:rPr>
            </w:pPr>
          </w:p>
          <w:p w14:paraId="1EA4CADB">
            <w:pPr>
              <w:numPr>
                <w:numId w:val="0"/>
              </w:numPr>
              <w:rPr>
                <w:rFonts w:hint="default"/>
                <w:vertAlign w:val="baseline"/>
                <w:lang w:val="en-US" w:eastAsia="zh-CN"/>
              </w:rPr>
            </w:pPr>
            <w:r>
              <w:rPr>
                <w:rFonts w:hint="eastAsia"/>
                <w:vertAlign w:val="baseline"/>
                <w:lang w:val="en-US" w:eastAsia="zh-CN"/>
              </w:rPr>
              <w:t>Bnf经验：</w:t>
            </w:r>
          </w:p>
          <w:p w14:paraId="022E61AD">
            <w:pPr>
              <w:numPr>
                <w:numId w:val="0"/>
              </w:numPr>
              <w:rPr>
                <w:rFonts w:hint="default"/>
                <w:vertAlign w:val="baseline"/>
                <w:lang w:val="en-US" w:eastAsia="zh-CN"/>
              </w:rPr>
            </w:pPr>
            <w:r>
              <w:rPr>
                <w:rFonts w:hint="default"/>
                <w:vertAlign w:val="baseline"/>
                <w:lang w:val="en-US" w:eastAsia="zh-CN"/>
              </w:rPr>
              <w:t>这是当时他总结的入场参考数值，波动大的标的需要自己总结，也要注意不同时间周期的偏离率也不同:</w:t>
            </w:r>
          </w:p>
          <w:p w14:paraId="15177110">
            <w:pPr>
              <w:numPr>
                <w:numId w:val="0"/>
              </w:numPr>
              <w:rPr>
                <w:rFonts w:hint="default"/>
                <w:vertAlign w:val="baseline"/>
                <w:lang w:val="en-US" w:eastAsia="zh-CN"/>
              </w:rPr>
            </w:pPr>
            <w:r>
              <w:rPr>
                <w:rFonts w:hint="default"/>
                <w:vertAlign w:val="baseline"/>
                <w:lang w:val="en-US" w:eastAsia="zh-CN"/>
              </w:rPr>
              <w:t>电机:约10~15%</w:t>
            </w:r>
          </w:p>
          <w:p w14:paraId="59E6274F">
            <w:pPr>
              <w:numPr>
                <w:numId w:val="0"/>
              </w:numPr>
              <w:rPr>
                <w:rFonts w:hint="default"/>
                <w:vertAlign w:val="baseline"/>
                <w:lang w:val="en-US" w:eastAsia="zh-CN"/>
              </w:rPr>
            </w:pPr>
            <w:r>
              <w:rPr>
                <w:rFonts w:hint="default"/>
                <w:vertAlign w:val="baseline"/>
                <w:lang w:val="en-US" w:eastAsia="zh-CN"/>
              </w:rPr>
              <w:t>药品:约5~10%</w:t>
            </w:r>
          </w:p>
          <w:p w14:paraId="53964254">
            <w:pPr>
              <w:numPr>
                <w:numId w:val="0"/>
              </w:numPr>
              <w:rPr>
                <w:rFonts w:hint="default"/>
                <w:vertAlign w:val="baseline"/>
                <w:lang w:val="en-US" w:eastAsia="zh-CN"/>
              </w:rPr>
            </w:pPr>
            <w:r>
              <w:rPr>
                <w:rFonts w:hint="default"/>
                <w:vertAlign w:val="baseline"/>
                <w:lang w:val="en-US" w:eastAsia="zh-CN"/>
              </w:rPr>
              <w:t>证券:约5~10%</w:t>
            </w:r>
          </w:p>
          <w:p w14:paraId="4C99A570">
            <w:pPr>
              <w:numPr>
                <w:numId w:val="0"/>
              </w:numPr>
              <w:rPr>
                <w:rFonts w:hint="default"/>
                <w:vertAlign w:val="baseline"/>
                <w:lang w:val="en-US" w:eastAsia="zh-CN"/>
              </w:rPr>
            </w:pPr>
            <w:r>
              <w:rPr>
                <w:rFonts w:hint="default"/>
                <w:vertAlign w:val="baseline"/>
                <w:lang w:val="en-US" w:eastAsia="zh-CN"/>
              </w:rPr>
              <w:t>食品:约7~10%</w:t>
            </w:r>
          </w:p>
          <w:p w14:paraId="35559BDF">
            <w:pPr>
              <w:numPr>
                <w:numId w:val="0"/>
              </w:numPr>
              <w:rPr>
                <w:rFonts w:hint="default"/>
                <w:vertAlign w:val="baseline"/>
                <w:lang w:val="en-US" w:eastAsia="zh-CN"/>
              </w:rPr>
            </w:pPr>
            <w:r>
              <w:rPr>
                <w:rFonts w:hint="default"/>
                <w:vertAlign w:val="baseline"/>
                <w:lang w:val="en-US" w:eastAsia="zh-CN"/>
              </w:rPr>
              <w:t>化学:约7~10%</w:t>
            </w:r>
          </w:p>
          <w:p w14:paraId="4E4B86CD">
            <w:pPr>
              <w:numPr>
                <w:numId w:val="0"/>
              </w:numPr>
              <w:rPr>
                <w:rFonts w:hint="default"/>
                <w:vertAlign w:val="baseline"/>
                <w:lang w:val="en-US" w:eastAsia="zh-CN"/>
              </w:rPr>
            </w:pPr>
          </w:p>
          <w:p w14:paraId="6F6192DA">
            <w:pPr>
              <w:numPr>
                <w:numId w:val="0"/>
              </w:numPr>
              <w:rPr>
                <w:rFonts w:hint="default"/>
                <w:vertAlign w:val="baseline"/>
                <w:lang w:val="en-US" w:eastAsia="zh-CN"/>
              </w:rPr>
            </w:pPr>
            <w:r>
              <w:rPr>
                <w:rFonts w:hint="eastAsia"/>
                <w:vertAlign w:val="baseline"/>
                <w:lang w:val="en-US" w:eastAsia="zh-CN"/>
              </w:rPr>
              <w:t>坚持的原则：</w:t>
            </w:r>
          </w:p>
          <w:p w14:paraId="50E68F23">
            <w:pPr>
              <w:numPr>
                <w:numId w:val="0"/>
              </w:numPr>
              <w:rPr>
                <w:rFonts w:hint="default"/>
                <w:vertAlign w:val="baseline"/>
                <w:lang w:val="en-US" w:eastAsia="zh-CN"/>
              </w:rPr>
            </w:pPr>
            <w:r>
              <w:rPr>
                <w:rFonts w:hint="default"/>
                <w:vertAlign w:val="baseline"/>
                <w:lang w:val="en-US" w:eastAsia="zh-CN"/>
              </w:rPr>
              <w:t>在初始资金的积累阶段，BNF还坚守着一个原则，就是只做现货交易，拒绝做空和杠杆交易他认为控制风险比扩大收益更重要，杠杆增加了交易的风险，会使人陷入困境。</w:t>
            </w:r>
          </w:p>
          <w:p w14:paraId="25BC297C">
            <w:pPr>
              <w:numPr>
                <w:numId w:val="0"/>
              </w:numPr>
              <w:rPr>
                <w:rFonts w:hint="default"/>
                <w:vertAlign w:val="baseline"/>
                <w:lang w:val="en-US" w:eastAsia="zh-CN"/>
              </w:rPr>
            </w:pPr>
          </w:p>
          <w:p w14:paraId="409F01D6">
            <w:pPr>
              <w:numPr>
                <w:numId w:val="0"/>
              </w:numPr>
              <w:rPr>
                <w:rFonts w:hint="default"/>
                <w:vertAlign w:val="baseline"/>
                <w:lang w:val="en-US" w:eastAsia="zh-CN"/>
              </w:rPr>
            </w:pPr>
            <w:r>
              <w:rPr>
                <w:rFonts w:hint="eastAsia"/>
                <w:vertAlign w:val="baseline"/>
                <w:lang w:val="en-US" w:eastAsia="zh-CN"/>
              </w:rPr>
              <w:t>需要我们随机应变：</w:t>
            </w:r>
            <w:bookmarkStart w:id="0" w:name="_GoBack"/>
            <w:bookmarkEnd w:id="0"/>
          </w:p>
          <w:p w14:paraId="79685FE9">
            <w:pPr>
              <w:numPr>
                <w:numId w:val="0"/>
              </w:numPr>
              <w:rPr>
                <w:rFonts w:hint="default"/>
                <w:vertAlign w:val="baseline"/>
                <w:lang w:val="en-US" w:eastAsia="zh-CN"/>
              </w:rPr>
            </w:pPr>
            <w:r>
              <w:rPr>
                <w:rFonts w:hint="default"/>
                <w:vertAlign w:val="baseline"/>
                <w:lang w:val="en-US" w:eastAsia="zh-CN"/>
              </w:rPr>
              <w:t>市场不好，采用逆向投资策略有利;市场好，就应该顺势而为。BNF坦言自己没有日内交易的天赋，频繁的交易会带给他过多的情绪变化。</w:t>
            </w:r>
          </w:p>
          <w:p w14:paraId="22C5C9A0">
            <w:pPr>
              <w:numPr>
                <w:numId w:val="0"/>
              </w:numPr>
              <w:rPr>
                <w:rFonts w:hint="default"/>
                <w:vertAlign w:val="baseline"/>
                <w:lang w:val="en-US" w:eastAsia="zh-CN"/>
              </w:rPr>
            </w:pPr>
            <w:r>
              <w:rPr>
                <w:rFonts w:hint="default"/>
                <w:vertAlign w:val="baseline"/>
                <w:lang w:val="en-US" w:eastAsia="zh-CN"/>
              </w:rPr>
              <w:t>交易中，他习惯将每次交易的频率控制在两天一晚，每次持有30到50支股票，在第二天上午开始逐个止盈或止损，并寻找下一组符合条件的股票持有。在股票的选择上，BNF习惯于将行业内龙头企业作为信号，选择龙头已经开始涨，同行业中还没有涨幅的公司。</w:t>
            </w:r>
          </w:p>
        </w:tc>
      </w:tr>
    </w:tbl>
    <w:p w14:paraId="371F5DC1">
      <w:pPr>
        <w:numPr>
          <w:numId w:val="0"/>
        </w:numPr>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47745"/>
    <w:multiLevelType w:val="singleLevel"/>
    <w:tmpl w:val="C6C47745"/>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MxNjRlOTRkOWQxMGQ0MzA0YjFiYTRmM2EwMWYifQ=="/>
  </w:docVars>
  <w:rsids>
    <w:rsidRoot w:val="00000000"/>
    <w:rsid w:val="30FB1170"/>
    <w:rsid w:val="41EB56E6"/>
    <w:rsid w:val="47F50963"/>
    <w:rsid w:val="4C736702"/>
    <w:rsid w:val="562E2A42"/>
    <w:rsid w:val="582E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Words>
  <Characters>261</Characters>
  <Lines>0</Lines>
  <Paragraphs>0</Paragraphs>
  <TotalTime>7253</TotalTime>
  <ScaleCrop>false</ScaleCrop>
  <LinksUpToDate>false</LinksUpToDate>
  <CharactersWithSpaces>263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2024-08-18T08:29:00Z</dcterms:created>
  <dc:creator>Administrator</dc:creator>
  <cp:lastModifiedBy>被流年抛弃的人</cp:lastModifiedBy>
  <dcterms:modified xsi:type="dcterms:W3CDTF">2024-08-23T16:12:09Z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C75C93589A6A486099C1DB9DA8A4638C_12</vt:lpwstr>
  </property>
</Properties>
</file>