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F6C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ALpha多因子模型</w:t>
      </w:r>
    </w:p>
    <w:p w14:paraId="380AF4D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什么在影响收益率？</w:t>
      </w:r>
    </w:p>
    <w:p w14:paraId="18068F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资本资产定价模型（CAPM）</w:t>
      </w:r>
    </w:p>
    <w:p w14:paraId="580F48F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CAPM假设</w:t>
      </w:r>
    </w:p>
    <w:p w14:paraId="24613FF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影响投资决策的主要因素为期望收益率和风险:</w:t>
      </w:r>
    </w:p>
    <w:p w14:paraId="4A6F477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所有投资者都是风险厌恶的;</w:t>
      </w:r>
    </w:p>
    <w:p w14:paraId="164A7A1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投资者可以及时获得充分的市场信息;</w:t>
      </w:r>
    </w:p>
    <w:p w14:paraId="641CEB2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投资者有共同的预期且产生相同的投资行为:</w:t>
      </w:r>
    </w:p>
    <w:p w14:paraId="50DF360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投资者有共同的无风险收益率;</w:t>
      </w:r>
    </w:p>
    <w:p w14:paraId="3595BEC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市场存在买空和卖空</w:t>
      </w:r>
    </w:p>
    <w:p w14:paraId="322203A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投资可以无限细分;</w:t>
      </w:r>
    </w:p>
    <w:p w14:paraId="56917F22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投资者有共同的投资期限</w:t>
      </w:r>
      <w:bookmarkStart w:id="0" w:name="_GoBack"/>
      <w:bookmarkEnd w:id="0"/>
    </w:p>
    <w:p w14:paraId="4F4E4BD3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DAA0D"/>
    <w:multiLevelType w:val="singleLevel"/>
    <w:tmpl w:val="0AFDA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9CDF4B"/>
    <w:multiLevelType w:val="singleLevel"/>
    <w:tmpl w:val="1E9CDF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274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2024-10-13T13:57:15Z</dcterms:created>
  <dc:creator>Administrator</dc:creator>
  <cp:lastModifiedBy>被流年抛弃的人</cp:lastModifiedBy>
  <dcterms:modified xsi:type="dcterms:W3CDTF">2024-10-20T04:58:38Z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A2B582F0336E4E8492FA021BEF41434D_12</vt:lpwstr>
  </property>
</Properties>
</file>