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1D4ED8"/>
          <w:sz w:val="22"/>
        </w:rPr>
        <w:t>TARS TECHNOLOGIES — CORPORATE REVIEW DOCUMENTATION</w:t>
      </w:r>
    </w:p>
    <w:p>
      <w:pPr>
        <w:spacing w:before="360" w:after="240"/>
      </w:pPr>
      <w:r>
        <w:rPr>
          <w:rFonts w:ascii="Arial" w:hAnsi="Arial"/>
          <w:b/>
          <w:color w:val="0F172A"/>
          <w:sz w:val="56"/>
        </w:rPr>
        <w:t>FinPilot Platform:</w:t>
        <w:br/>
        <w:t>Deep Project Analysis Document</w:t>
      </w:r>
    </w:p>
    <w:p>
      <w:pPr>
        <w:spacing w:after="2800"/>
      </w:pPr>
      <w:r>
        <w:rPr>
          <w:rFonts w:ascii="Arial" w:hAnsi="Arial"/>
          <w:color w:val="64748B"/>
          <w:sz w:val="26"/>
        </w:rPr>
        <w:t>Comprehensive Architectural, Implementation, Technical Security, Product-Market Fit, and Strategic Review</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rFonts w:ascii="Arial" w:hAnsi="Arial"/>
                <w:b/>
                <w:color w:val="0F172A"/>
                <w:sz w:val="19"/>
              </w:rPr>
              <w:t>Project Name:</w:t>
            </w:r>
          </w:p>
        </w:tc>
        <w:tc>
          <w:tcPr>
            <w:tcW w:type="dxa" w:w="6192"/>
          </w:tcPr>
          <w:p>
            <w:pPr>
              <w:spacing w:after="40"/>
            </w:pPr>
            <w:r>
              <w:rPr>
                <w:rFonts w:ascii="Arial" w:hAnsi="Arial"/>
                <w:color w:val="334155"/>
                <w:sz w:val="19"/>
              </w:rPr>
              <w:t>FinPilot (Digital Loan Distribution Platform)</w:t>
            </w:r>
          </w:p>
        </w:tc>
      </w:tr>
      <w:tr>
        <w:tc>
          <w:tcPr>
            <w:tcW w:type="dxa" w:w="3168"/>
          </w:tcPr>
          <w:p>
            <w:pPr>
              <w:spacing w:after="40"/>
            </w:pPr>
            <w:r>
              <w:rPr>
                <w:rFonts w:ascii="Arial" w:hAnsi="Arial"/>
                <w:b/>
                <w:color w:val="0F172A"/>
                <w:sz w:val="19"/>
              </w:rPr>
              <w:t>Prepared For:</w:t>
            </w:r>
          </w:p>
        </w:tc>
        <w:tc>
          <w:tcPr>
            <w:tcW w:type="dxa" w:w="6192"/>
          </w:tcPr>
          <w:p>
            <w:pPr>
              <w:spacing w:after="40"/>
            </w:pPr>
            <w:r>
              <w:rPr>
                <w:rFonts w:ascii="Arial" w:hAnsi="Arial"/>
                <w:color w:val="334155"/>
                <w:sz w:val="19"/>
              </w:rPr>
              <w:t>Corporate Project Review Committee — TARS Technologies</w:t>
            </w:r>
          </w:p>
        </w:tc>
      </w:tr>
      <w:tr>
        <w:tc>
          <w:tcPr>
            <w:tcW w:type="dxa" w:w="3168"/>
          </w:tcPr>
          <w:p>
            <w:pPr>
              <w:spacing w:after="40"/>
            </w:pPr>
            <w:r>
              <w:rPr>
                <w:rFonts w:ascii="Arial" w:hAnsi="Arial"/>
                <w:b/>
                <w:color w:val="0F172A"/>
                <w:sz w:val="19"/>
              </w:rPr>
              <w:t>Author / Lead:</w:t>
            </w:r>
          </w:p>
        </w:tc>
        <w:tc>
          <w:tcPr>
            <w:tcW w:type="dxa" w:w="6192"/>
          </w:tcPr>
          <w:p>
            <w:pPr>
              <w:spacing w:after="40"/>
            </w:pPr>
            <w:r>
              <w:rPr>
                <w:rFonts w:ascii="Arial" w:hAnsi="Arial"/>
                <w:color w:val="334155"/>
                <w:sz w:val="19"/>
              </w:rPr>
              <w:t>Senior Software Architect &amp; Technical Documentation Lead</w:t>
            </w:r>
          </w:p>
        </w:tc>
      </w:tr>
      <w:tr>
        <w:tc>
          <w:tcPr>
            <w:tcW w:type="dxa" w:w="3168"/>
          </w:tcPr>
          <w:p>
            <w:pPr>
              <w:spacing w:after="40"/>
            </w:pPr>
            <w:r>
              <w:rPr>
                <w:rFonts w:ascii="Arial" w:hAnsi="Arial"/>
                <w:b/>
                <w:color w:val="0F172A"/>
                <w:sz w:val="19"/>
              </w:rPr>
              <w:t>Document Classification:</w:t>
            </w:r>
          </w:p>
        </w:tc>
        <w:tc>
          <w:tcPr>
            <w:tcW w:type="dxa" w:w="6192"/>
          </w:tcPr>
          <w:p>
            <w:pPr>
              <w:spacing w:after="40"/>
            </w:pPr>
            <w:r>
              <w:rPr>
                <w:rFonts w:ascii="Arial" w:hAnsi="Arial"/>
                <w:color w:val="334155"/>
                <w:sz w:val="19"/>
              </w:rPr>
              <w:t>Confidential — Internal Corporate Review</w:t>
            </w:r>
          </w:p>
        </w:tc>
      </w:tr>
      <w:tr>
        <w:tc>
          <w:tcPr>
            <w:tcW w:type="dxa" w:w="3168"/>
          </w:tcPr>
          <w:p>
            <w:pPr>
              <w:spacing w:after="40"/>
            </w:pPr>
            <w:r>
              <w:rPr>
                <w:rFonts w:ascii="Arial" w:hAnsi="Arial"/>
                <w:b/>
                <w:color w:val="0F172A"/>
                <w:sz w:val="19"/>
              </w:rPr>
              <w:t>Date &amp; Version:</w:t>
            </w:r>
          </w:p>
        </w:tc>
        <w:tc>
          <w:tcPr>
            <w:tcW w:type="dxa" w:w="6192"/>
          </w:tcPr>
          <w:p>
            <w:pPr>
              <w:spacing w:after="40"/>
            </w:pPr>
            <w:r>
              <w:rPr>
                <w:rFonts w:ascii="Arial" w:hAnsi="Arial"/>
                <w:color w:val="334155"/>
                <w:sz w:val="19"/>
              </w:rPr>
              <w:t>August 2026 | Version 1.0 (Master Release)</w:t>
            </w:r>
          </w:p>
        </w:tc>
      </w:tr>
    </w:tbl>
    <w:p>
      <w:r>
        <w:br w:type="page"/>
      </w:r>
    </w:p>
    <w:p>
      <w:pPr>
        <w:keepNext/>
        <w:spacing w:before="360" w:after="160"/>
      </w:pPr>
      <w:r>
        <w:rPr>
          <w:rFonts w:ascii="Arial" w:hAnsi="Arial"/>
          <w:b/>
          <w:color w:val="0F172A"/>
          <w:sz w:val="36"/>
        </w:rPr>
        <w:t>1. Executive Analysis</w:t>
      </w:r>
    </w:p>
    <w:p>
      <w:pPr>
        <w:spacing w:before="0" w:after="120" w:line="276" w:lineRule="auto"/>
      </w:pPr>
      <w:r>
        <w:rPr>
          <w:rFonts w:ascii="Arial" w:hAnsi="Arial"/>
          <w:i w:val="0"/>
          <w:color w:val="334155"/>
        </w:rPr>
        <w:t>FinPilot is a digital Corporate Direct Selling Agent (DSA) and loan distribution platform designed and engineered at TARS Technologies. The platform is architected to streamline retail credit acquisition by digitizing customer onboarding, identity verification, financial profiling, automated eligibility scoring, and loan discovery.</w:t>
      </w:r>
    </w:p>
    <w:p>
      <w:pPr>
        <w:spacing w:before="0" w:after="120" w:line="276" w:lineRule="auto"/>
      </w:pPr>
      <w:r>
        <w:rPr>
          <w:rFonts w:ascii="Arial" w:hAnsi="Arial"/>
          <w:i w:val="0"/>
          <w:color w:val="334155"/>
        </w:rPr>
        <w:t>This Project Analysis Document provides a rigorous, code-grounded architectural evaluation of the FinPilot ecosystem. Based on empirical analysis of the repository (e:\Fintech), this document evaluates the technical feasibility, data models, security vault controls, operational workflows, and competitive positioning of the system.</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D4ED8"/>
              <w:bottom w:val="none"/>
              <w:right w:val="none"/>
            </w:tcBorders>
          </w:tcPr>
          <w:p>
            <w:pPr>
              <w:spacing w:before="0" w:after="40"/>
            </w:pPr>
            <w:r>
              <w:rPr>
                <w:rFonts w:ascii="Arial" w:hAnsi="Arial"/>
                <w:b/>
                <w:color w:val="1D4ED8"/>
                <w:sz w:val="21"/>
              </w:rPr>
              <w:t>CORE BUSINESS BOUNDARY STATEMENT</w:t>
              <w:br/>
            </w:r>
            <w:r>
              <w:rPr>
                <w:rFonts w:ascii="Arial" w:hAnsi="Arial"/>
                <w:color w:val="334155"/>
                <w:sz w:val="19"/>
              </w:rPr>
              <w:t>FinPilot acts strictly as a digital distribution channel and lead qualification gateway. The platform DOES NOT disburse funds directly or operate as a licensed lender. All credit underwriting and capital disbursement remain the sole responsibility of partner Banks and Non-Banking Financial Companies (NBFCs).</w:t>
            </w:r>
          </w:p>
        </w:tc>
      </w:tr>
    </w:tbl>
    <w:p>
      <w:pPr>
        <w:spacing w:after="80"/>
      </w:pPr>
    </w:p>
    <w:p>
      <w:pPr>
        <w:spacing w:before="0" w:after="120" w:line="276" w:lineRule="auto"/>
      </w:pPr>
      <w:r>
        <w:rPr>
          <w:rFonts w:ascii="Arial" w:hAnsi="Arial"/>
          <w:i w:val="0"/>
          <w:color w:val="334155"/>
        </w:rPr>
        <w:t>Key Analytical Takeaways:</w:t>
      </w:r>
    </w:p>
    <w:p>
      <w:pPr>
        <w:pStyle w:val="ListBullet"/>
        <w:spacing w:before="0" w:after="80" w:line="276" w:lineRule="auto"/>
      </w:pPr>
      <w:r>
        <w:rPr>
          <w:rFonts w:ascii="Arial" w:hAnsi="Arial"/>
          <w:b/>
          <w:color w:val="0F172A"/>
        </w:rPr>
        <w:t xml:space="preserve">Borrower MVP Maturity: </w:t>
      </w:r>
      <w:r>
        <w:rPr>
          <w:rFonts w:ascii="Arial" w:hAnsi="Arial"/>
          <w:color w:val="334155"/>
        </w:rPr>
        <w:t>The borrower-facing MVP core is highly developed (~55% overall MVP implementation), featuring end-to-end phone OTP login, JWT session management, profile creation, digital Aadhaar/PAN KYC with AES-256-GCM encryption, a deterministic 80-point eligibility scoring engine, and an interactive loan explorer UI.</w:t>
      </w:r>
    </w:p>
    <w:p>
      <w:pPr>
        <w:pStyle w:val="ListBullet"/>
        <w:spacing w:before="0" w:after="80" w:line="276" w:lineRule="auto"/>
      </w:pPr>
      <w:r>
        <w:rPr>
          <w:rFonts w:ascii="Arial" w:hAnsi="Arial"/>
          <w:b/>
          <w:color w:val="0F172A"/>
        </w:rPr>
        <w:t xml:space="preserve">Operational DSA Gap: </w:t>
      </w:r>
      <w:r>
        <w:rPr>
          <w:rFonts w:ascii="Arial" w:hAnsi="Arial"/>
          <w:color w:val="334155"/>
        </w:rPr>
        <w:t>The administrative and operational infrastructure — specifically the Web Admin Panel, backend lead queue management, manual verification tools, and automated lender routing — is documented in specifications but remains unbuilt in the codebase (0% implemented).</w:t>
      </w:r>
    </w:p>
    <w:p>
      <w:pPr>
        <w:pStyle w:val="ListBullet"/>
        <w:spacing w:before="0" w:after="80" w:line="276" w:lineRule="auto"/>
      </w:pPr>
      <w:r>
        <w:rPr>
          <w:rFonts w:ascii="Arial" w:hAnsi="Arial"/>
          <w:b/>
          <w:color w:val="0F172A"/>
        </w:rPr>
        <w:t xml:space="preserve">Security &amp; Debt Profile: </w:t>
      </w:r>
      <w:r>
        <w:rPr>
          <w:rFonts w:ascii="Arial" w:hAnsi="Arial"/>
          <w:color w:val="334155"/>
        </w:rPr>
        <w:t>Production security hardening is incomplete. Sensitive PII/OTPs are logged in backend console output, Cloudinary KYC document storage uses public URLs without signed access controls, and rate-limiting and JWT refresh endpoints are currently missing.</w:t>
      </w:r>
    </w:p>
    <w:p>
      <w:pPr>
        <w:keepNext/>
        <w:spacing w:before="360" w:after="160"/>
      </w:pPr>
      <w:r>
        <w:rPr>
          <w:rFonts w:ascii="Arial" w:hAnsi="Arial"/>
          <w:b/>
          <w:color w:val="0F172A"/>
          <w:sz w:val="36"/>
        </w:rPr>
        <w:t>2. Product Definition</w:t>
      </w:r>
    </w:p>
    <w:p>
      <w:pPr>
        <w:spacing w:before="0" w:after="120" w:line="276" w:lineRule="auto"/>
      </w:pPr>
      <w:r>
        <w:rPr>
          <w:rFonts w:ascii="Arial" w:hAnsi="Arial"/>
          <w:i w:val="0"/>
          <w:color w:val="334155"/>
        </w:rPr>
        <w:t>FinPilot is defined as a B2C customer-facing mobile application backed by a Node.js/Express REST API server and a MongoDB document database. Its primary business objective is to capture qualified loan applicants, aggregate their financial profiles and identity documents, execute automated eligibility screening, and package pre-verified loan leads for distribution to lending partners.</w:t>
      </w:r>
    </w:p>
    <w:p>
      <w:pPr>
        <w:keepNext/>
        <w:spacing w:before="280" w:after="120"/>
      </w:pPr>
      <w:r>
        <w:rPr>
          <w:rFonts w:ascii="Arial" w:hAnsi="Arial"/>
          <w:b/>
          <w:color w:val="1D4ED8"/>
          <w:sz w:val="28"/>
        </w:rPr>
        <w:t>2.1 Platform Classification</w:t>
      </w:r>
    </w:p>
    <w:p>
      <w:pPr>
        <w:spacing w:before="0" w:after="120" w:line="276" w:lineRule="auto"/>
      </w:pPr>
      <w:r>
        <w:rPr>
          <w:rFonts w:ascii="Arial" w:hAnsi="Arial"/>
          <w:i w:val="0"/>
          <w:color w:val="334155"/>
        </w:rPr>
        <w:t>FinPilot is categorized as a Digital Loan Aggregator &amp; Lead Distribution Gateway (Digital DSA). Unlike traditional direct lenders, FinPilot generates revenue through referral commissions earned when a forwarded customer lead is successfully approved and disbursed by a partner Bank or NBFC.</w:t>
      </w:r>
    </w:p>
    <w:p>
      <w:pPr>
        <w:keepNext/>
        <w:spacing w:before="280" w:after="120"/>
      </w:pPr>
      <w:r>
        <w:rPr>
          <w:rFonts w:ascii="Arial" w:hAnsi="Arial"/>
          <w:b/>
          <w:color w:val="1D4ED8"/>
          <w:sz w:val="28"/>
        </w:rPr>
        <w:t>2.2 Core Product Capabilities</w:t>
      </w:r>
    </w:p>
    <w:p>
      <w:pPr>
        <w:pStyle w:val="ListBullet"/>
        <w:spacing w:before="0" w:after="80" w:line="276" w:lineRule="auto"/>
      </w:pPr>
      <w:r>
        <w:rPr>
          <w:rFonts w:ascii="Arial" w:hAnsi="Arial"/>
          <w:b/>
          <w:color w:val="0F172A"/>
        </w:rPr>
        <w:t xml:space="preserve">Digital Authentication: </w:t>
      </w:r>
      <w:r>
        <w:rPr>
          <w:rFonts w:ascii="Arial" w:hAnsi="Arial"/>
          <w:color w:val="334155"/>
        </w:rPr>
        <w:t>Allows frictionless registration and authentication via 6-digit mobile OTP, issuing 7-day access and 30-day refresh JWT tokens.</w:t>
      </w:r>
    </w:p>
    <w:p>
      <w:pPr>
        <w:pStyle w:val="ListBullet"/>
        <w:spacing w:before="0" w:after="80" w:line="276" w:lineRule="auto"/>
      </w:pPr>
      <w:r>
        <w:rPr>
          <w:rFonts w:ascii="Arial" w:hAnsi="Arial"/>
          <w:b/>
          <w:color w:val="0F172A"/>
        </w:rPr>
        <w:t xml:space="preserve">Borrower Profile Vault: </w:t>
      </w:r>
      <w:r>
        <w:rPr>
          <w:rFonts w:ascii="Arial" w:hAnsi="Arial"/>
          <w:color w:val="334155"/>
        </w:rPr>
        <w:t>Captures complete personal details, demographic data, and profile photos stored in Cloudinary (`fintech/profile`).</w:t>
      </w:r>
    </w:p>
    <w:p>
      <w:pPr>
        <w:pStyle w:val="ListBullet"/>
        <w:spacing w:before="0" w:after="80" w:line="276" w:lineRule="auto"/>
      </w:pPr>
      <w:r>
        <w:rPr>
          <w:rFonts w:ascii="Arial" w:hAnsi="Arial"/>
          <w:b/>
          <w:color w:val="0F172A"/>
        </w:rPr>
        <w:t xml:space="preserve">Digital KYC Verification: </w:t>
      </w:r>
      <w:r>
        <w:rPr>
          <w:rFonts w:ascii="Arial" w:hAnsi="Arial"/>
          <w:color w:val="334155"/>
        </w:rPr>
        <w:t>Integrates with Sandbox.co.in APIs for Aadhaar OKYC and PAN verification, securing raw identity numbers using AES-256-GCM encryption at rest while exposing only masked identifiers (`XXXX-XXXX-1234`, `XXXXXX1234`).</w:t>
      </w:r>
    </w:p>
    <w:p>
      <w:pPr>
        <w:pStyle w:val="ListBullet"/>
        <w:spacing w:before="0" w:after="80" w:line="276" w:lineRule="auto"/>
      </w:pPr>
      <w:r>
        <w:rPr>
          <w:rFonts w:ascii="Arial" w:hAnsi="Arial"/>
          <w:b/>
          <w:color w:val="0F172A"/>
        </w:rPr>
        <w:t xml:space="preserve">Financial Scoring Engine: </w:t>
      </w:r>
      <w:r>
        <w:rPr>
          <w:rFonts w:ascii="Arial" w:hAnsi="Arial"/>
          <w:color w:val="334155"/>
        </w:rPr>
        <w:t>Evaluates monthly salary, company details, active loan counts, EMI commitments, and CIBIL score against an 80-point deterministic matrix.</w:t>
      </w:r>
    </w:p>
    <w:p>
      <w:pPr>
        <w:pStyle w:val="ListBullet"/>
        <w:spacing w:before="0" w:after="80" w:line="276" w:lineRule="auto"/>
      </w:pPr>
      <w:r>
        <w:rPr>
          <w:rFonts w:ascii="Arial" w:hAnsi="Arial"/>
          <w:b/>
          <w:color w:val="0F172A"/>
        </w:rPr>
        <w:t xml:space="preserve">Loan Discovery Catalog: </w:t>
      </w:r>
      <w:r>
        <w:rPr>
          <w:rFonts w:ascii="Arial" w:hAnsi="Arial"/>
          <w:color w:val="334155"/>
        </w:rPr>
        <w:t>Presents an interactive catalog of 6 loan products (Personal, Home, Business, Education, Vehicle, Gold) with loan amount sliders and mock partner offers.</w:t>
      </w:r>
    </w:p>
    <w:p>
      <w:pPr>
        <w:keepNext/>
        <w:spacing w:before="360" w:after="160"/>
      </w:pPr>
      <w:r>
        <w:rPr>
          <w:rFonts w:ascii="Arial" w:hAnsi="Arial"/>
          <w:b/>
          <w:color w:val="0F172A"/>
          <w:sz w:val="36"/>
        </w:rPr>
        <w:t>3. Problem Analysis</w:t>
      </w:r>
    </w:p>
    <w:p>
      <w:pPr>
        <w:spacing w:before="0" w:after="120" w:line="276" w:lineRule="auto"/>
      </w:pPr>
      <w:r>
        <w:rPr>
          <w:rFonts w:ascii="Arial" w:hAnsi="Arial"/>
          <w:i w:val="0"/>
          <w:color w:val="334155"/>
        </w:rPr>
        <w:t>Retail loan acquisition in traditional Indian financial markets is severely handicapped by manual, fragmented operational workflows. FinPilot directly addresses four critical friction points:</w:t>
      </w:r>
    </w:p>
    <w:p>
      <w:pPr>
        <w:pStyle w:val="ListBullet"/>
        <w:spacing w:before="0" w:after="80" w:line="276" w:lineRule="auto"/>
      </w:pPr>
      <w:r>
        <w:rPr>
          <w:rFonts w:ascii="Arial" w:hAnsi="Arial"/>
          <w:b/>
          <w:color w:val="0F172A"/>
        </w:rPr>
        <w:t xml:space="preserve">Fragmented Borrower Journey: </w:t>
      </w:r>
      <w:r>
        <w:rPr>
          <w:rFonts w:ascii="Arial" w:hAnsi="Arial"/>
          <w:color w:val="334155"/>
        </w:rPr>
        <w:t>Borrowers must physically visit branches or deal with disparate field agents, submitting paper documents repeatedly for different loan inquiries.</w:t>
      </w:r>
    </w:p>
    <w:p>
      <w:pPr>
        <w:pStyle w:val="ListBullet"/>
        <w:spacing w:before="0" w:after="80" w:line="276" w:lineRule="auto"/>
      </w:pPr>
      <w:r>
        <w:rPr>
          <w:rFonts w:ascii="Arial" w:hAnsi="Arial"/>
          <w:b/>
          <w:color w:val="0F172A"/>
        </w:rPr>
        <w:t xml:space="preserve">Paper-Based KYC Vulnerabilities: </w:t>
      </w:r>
      <w:r>
        <w:rPr>
          <w:rFonts w:ascii="Arial" w:hAnsi="Arial"/>
          <w:color w:val="334155"/>
        </w:rPr>
        <w:t>Paper-based Aadhaar and PAN collection creates massive data privacy risks, identity theft vulnerabilities, and compliance failures under India's Digital Personal Data Protection (DPDP) Act.</w:t>
      </w:r>
    </w:p>
    <w:p>
      <w:pPr>
        <w:pStyle w:val="ListBullet"/>
        <w:spacing w:before="0" w:after="80" w:line="276" w:lineRule="auto"/>
      </w:pPr>
      <w:r>
        <w:rPr>
          <w:rFonts w:ascii="Arial" w:hAnsi="Arial"/>
          <w:b/>
          <w:color w:val="0F172A"/>
        </w:rPr>
        <w:t xml:space="preserve">High Acquisition Costs for Lenders: </w:t>
      </w:r>
      <w:r>
        <w:rPr>
          <w:rFonts w:ascii="Arial" w:hAnsi="Arial"/>
          <w:color w:val="334155"/>
        </w:rPr>
        <w:t>Lenders spend substantial capital processing unqualified applications that fail basic credit score thresholds or income requirements early in underwriting.</w:t>
      </w:r>
    </w:p>
    <w:p>
      <w:pPr>
        <w:pStyle w:val="ListBullet"/>
        <w:spacing w:before="0" w:after="80" w:line="276" w:lineRule="auto"/>
      </w:pPr>
      <w:r>
        <w:rPr>
          <w:rFonts w:ascii="Arial" w:hAnsi="Arial"/>
          <w:b/>
          <w:color w:val="0F172A"/>
        </w:rPr>
        <w:t xml:space="preserve">Opaque Application Status: </w:t>
      </w:r>
      <w:r>
        <w:rPr>
          <w:rFonts w:ascii="Arial" w:hAnsi="Arial"/>
          <w:color w:val="334155"/>
        </w:rPr>
        <w:t>Borrowers experience complete opaque silence after submitting applications, with zero real-time status visibility.</w:t>
      </w:r>
    </w:p>
    <w:p>
      <w:pPr>
        <w:keepNext/>
        <w:spacing w:before="360" w:after="160"/>
      </w:pPr>
      <w:r>
        <w:rPr>
          <w:rFonts w:ascii="Arial" w:hAnsi="Arial"/>
          <w:b/>
          <w:color w:val="0F172A"/>
          <w:sz w:val="36"/>
        </w:rPr>
        <w:t>4. Target Users / Actors</w:t>
      </w:r>
    </w:p>
    <w:p>
      <w:pPr>
        <w:spacing w:before="0" w:after="120" w:line="276" w:lineRule="auto"/>
      </w:pPr>
      <w:r>
        <w:rPr>
          <w:rFonts w:ascii="Arial" w:hAnsi="Arial"/>
          <w:i w:val="0"/>
          <w:color w:val="334155"/>
        </w:rPr>
        <w:t>The FinPilot ecosystem defines three distinct operational actors across the loan lifecycle: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sz w:val="19"/>
              </w:rPr>
              <w:t>Actor Role</w:t>
            </w:r>
          </w:p>
        </w:tc>
        <w:tc>
          <w:tcPr>
            <w:tcW w:type="dxa" w:w="2340"/>
            <w:shd w:fill="0F172A"/>
            <w:tcMar>
              <w:top w:w="100" w:type="dxa"/>
              <w:bottom w:w="100" w:type="dxa"/>
              <w:left w:w="120" w:type="dxa"/>
              <w:right w:w="120" w:type="dxa"/>
            </w:tcMar>
          </w:tcPr>
          <w:p>
            <w:r>
              <w:rPr>
                <w:b/>
                <w:color w:val="FFFFFF"/>
                <w:sz w:val="19"/>
              </w:rPr>
              <w:t>Platform Touchpoint</w:t>
            </w:r>
          </w:p>
        </w:tc>
        <w:tc>
          <w:tcPr>
            <w:tcW w:type="dxa" w:w="2340"/>
            <w:shd w:fill="0F172A"/>
            <w:tcMar>
              <w:top w:w="100" w:type="dxa"/>
              <w:bottom w:w="100" w:type="dxa"/>
              <w:left w:w="120" w:type="dxa"/>
              <w:right w:w="120" w:type="dxa"/>
            </w:tcMar>
          </w:tcPr>
          <w:p>
            <w:r>
              <w:rPr>
                <w:b/>
                <w:color w:val="FFFFFF"/>
                <w:sz w:val="19"/>
              </w:rPr>
              <w:t>Primary Objectives</w:t>
            </w:r>
          </w:p>
        </w:tc>
        <w:tc>
          <w:tcPr>
            <w:tcW w:type="dxa" w:w="2340"/>
            <w:shd w:fill="0F172A"/>
            <w:tcMar>
              <w:top w:w="100" w:type="dxa"/>
              <w:bottom w:w="100" w:type="dxa"/>
              <w:left w:w="120" w:type="dxa"/>
              <w:right w:w="120" w:type="dxa"/>
            </w:tcMar>
          </w:tcPr>
          <w:p>
            <w:r>
              <w:rPr>
                <w:b/>
                <w:color w:val="FFFFFF"/>
                <w:sz w:val="19"/>
              </w:rPr>
              <w:t>Implementation Status</w:t>
            </w:r>
          </w:p>
        </w:tc>
      </w:tr>
      <w:tr>
        <w:tc>
          <w:tcPr>
            <w:tcW w:type="dxa" w:w="2340"/>
            <w:shd w:fill="F1F5F9"/>
            <w:tcMar>
              <w:top w:w="80" w:type="dxa"/>
              <w:bottom w:w="80" w:type="dxa"/>
              <w:left w:w="100" w:type="dxa"/>
              <w:right w:w="100" w:type="dxa"/>
            </w:tcMar>
          </w:tcPr>
          <w:p>
            <w:r>
              <w:rPr>
                <w:sz w:val="18"/>
              </w:rPr>
              <w:t>Borrower (Customer)</w:t>
            </w:r>
          </w:p>
        </w:tc>
        <w:tc>
          <w:tcPr>
            <w:tcW w:type="dxa" w:w="2340"/>
            <w:shd w:fill="F1F5F9"/>
            <w:tcMar>
              <w:top w:w="80" w:type="dxa"/>
              <w:bottom w:w="80" w:type="dxa"/>
              <w:left w:w="100" w:type="dxa"/>
              <w:right w:w="100" w:type="dxa"/>
            </w:tcMar>
          </w:tcPr>
          <w:p>
            <w:r>
              <w:rPr>
                <w:sz w:val="18"/>
              </w:rPr>
              <w:t>React Native Mobile App</w:t>
            </w:r>
          </w:p>
        </w:tc>
        <w:tc>
          <w:tcPr>
            <w:tcW w:type="dxa" w:w="2340"/>
            <w:shd w:fill="F1F5F9"/>
            <w:tcMar>
              <w:top w:w="80" w:type="dxa"/>
              <w:bottom w:w="80" w:type="dxa"/>
              <w:left w:w="100" w:type="dxa"/>
              <w:right w:w="100" w:type="dxa"/>
            </w:tcMar>
          </w:tcPr>
          <w:p>
            <w:r>
              <w:rPr>
                <w:sz w:val="18"/>
              </w:rPr>
              <w:t>Register, complete KYC, check loan eligibility, explore loan offers, track application</w:t>
            </w:r>
          </w:p>
        </w:tc>
        <w:tc>
          <w:tcPr>
            <w:tcW w:type="dxa" w:w="2340"/>
            <w:shd w:fill="F1F5F9"/>
            <w:tcMar>
              <w:top w:w="80" w:type="dxa"/>
              <w:bottom w:w="80" w:type="dxa"/>
              <w:left w:w="100" w:type="dxa"/>
              <w:right w:w="100" w:type="dxa"/>
            </w:tcMar>
          </w:tcPr>
          <w:p>
            <w:r>
              <w:rPr>
                <w:b/>
                <w:color w:val="16A34A"/>
                <w:sz w:val="18"/>
              </w:rPr>
              <w:t>IMPLEMENTED (UI &amp; APIs)</w:t>
            </w:r>
          </w:p>
        </w:tc>
      </w:tr>
      <w:tr>
        <w:tc>
          <w:tcPr>
            <w:tcW w:type="dxa" w:w="2340"/>
            <w:shd w:fill="FFFFFF"/>
            <w:tcMar>
              <w:top w:w="80" w:type="dxa"/>
              <w:bottom w:w="80" w:type="dxa"/>
              <w:left w:w="100" w:type="dxa"/>
              <w:right w:w="100" w:type="dxa"/>
            </w:tcMar>
          </w:tcPr>
          <w:p>
            <w:r>
              <w:rPr>
                <w:sz w:val="18"/>
              </w:rPr>
              <w:t>TARS Admin / Operator</w:t>
            </w:r>
          </w:p>
        </w:tc>
        <w:tc>
          <w:tcPr>
            <w:tcW w:type="dxa" w:w="2340"/>
            <w:shd w:fill="FFFFFF"/>
            <w:tcMar>
              <w:top w:w="80" w:type="dxa"/>
              <w:bottom w:w="80" w:type="dxa"/>
              <w:left w:w="100" w:type="dxa"/>
              <w:right w:w="100" w:type="dxa"/>
            </w:tcMar>
          </w:tcPr>
          <w:p>
            <w:r>
              <w:rPr>
                <w:sz w:val="18"/>
              </w:rPr>
              <w:t>Web Admin Panel (Web Browser)</w:t>
            </w:r>
          </w:p>
        </w:tc>
        <w:tc>
          <w:tcPr>
            <w:tcW w:type="dxa" w:w="2340"/>
            <w:shd w:fill="FFFFFF"/>
            <w:tcMar>
              <w:top w:w="80" w:type="dxa"/>
              <w:bottom w:w="80" w:type="dxa"/>
              <w:left w:w="100" w:type="dxa"/>
              <w:right w:w="100" w:type="dxa"/>
            </w:tcMar>
          </w:tcPr>
          <w:p>
            <w:r>
              <w:rPr>
                <w:sz w:val="18"/>
              </w:rPr>
              <w:t>Review customer leads, verify KYC documents, execute manual qualification, forward to lenders</w:t>
            </w:r>
          </w:p>
        </w:tc>
        <w:tc>
          <w:tcPr>
            <w:tcW w:type="dxa" w:w="2340"/>
            <w:shd w:fill="FFFFFF"/>
            <w:tcMar>
              <w:top w:w="80" w:type="dxa"/>
              <w:bottom w:w="80" w:type="dxa"/>
              <w:left w:w="100" w:type="dxa"/>
              <w:right w:w="100" w:type="dxa"/>
            </w:tcMar>
          </w:tcPr>
          <w:p>
            <w:r>
              <w:rPr>
                <w:b/>
                <w:color w:val="D97706"/>
                <w:sz w:val="18"/>
              </w:rPr>
              <w:t>DOCUMENTED ONLY (0% Code)</w:t>
            </w:r>
          </w:p>
        </w:tc>
      </w:tr>
      <w:tr>
        <w:tc>
          <w:tcPr>
            <w:tcW w:type="dxa" w:w="2340"/>
            <w:shd w:fill="F1F5F9"/>
            <w:tcMar>
              <w:top w:w="80" w:type="dxa"/>
              <w:bottom w:w="80" w:type="dxa"/>
              <w:left w:w="100" w:type="dxa"/>
              <w:right w:w="100" w:type="dxa"/>
            </w:tcMar>
          </w:tcPr>
          <w:p>
            <w:r>
              <w:rPr>
                <w:sz w:val="18"/>
              </w:rPr>
              <w:t>Partner Lenders (Bank/NBFC)</w:t>
            </w:r>
          </w:p>
        </w:tc>
        <w:tc>
          <w:tcPr>
            <w:tcW w:type="dxa" w:w="2340"/>
            <w:shd w:fill="F1F5F9"/>
            <w:tcMar>
              <w:top w:w="80" w:type="dxa"/>
              <w:bottom w:w="80" w:type="dxa"/>
              <w:left w:w="100" w:type="dxa"/>
              <w:right w:w="100" w:type="dxa"/>
            </w:tcMar>
          </w:tcPr>
          <w:p>
            <w:r>
              <w:rPr>
                <w:sz w:val="18"/>
              </w:rPr>
              <w:t>Lender API / Email / Portal</w:t>
            </w:r>
          </w:p>
        </w:tc>
        <w:tc>
          <w:tcPr>
            <w:tcW w:type="dxa" w:w="2340"/>
            <w:shd w:fill="F1F5F9"/>
            <w:tcMar>
              <w:top w:w="80" w:type="dxa"/>
              <w:bottom w:w="80" w:type="dxa"/>
              <w:left w:w="100" w:type="dxa"/>
              <w:right w:w="100" w:type="dxa"/>
            </w:tcMar>
          </w:tcPr>
          <w:p>
            <w:r>
              <w:rPr>
                <w:sz w:val="18"/>
              </w:rPr>
              <w:t>Receive qualified leads, conduct credit risk assessment, approve/reject, disburse capital</w:t>
            </w:r>
          </w:p>
        </w:tc>
        <w:tc>
          <w:tcPr>
            <w:tcW w:type="dxa" w:w="2340"/>
            <w:shd w:fill="F1F5F9"/>
            <w:tcMar>
              <w:top w:w="80" w:type="dxa"/>
              <w:bottom w:w="80" w:type="dxa"/>
              <w:left w:w="100" w:type="dxa"/>
              <w:right w:w="100" w:type="dxa"/>
            </w:tcMar>
          </w:tcPr>
          <w:p>
            <w:r>
              <w:rPr>
                <w:b/>
                <w:color w:val="16A34A"/>
                <w:sz w:val="18"/>
              </w:rPr>
              <w:t>PLANNED / NOT IMPLEMENTED</w:t>
            </w:r>
          </w:p>
        </w:tc>
      </w:tr>
    </w:tbl>
    <w:p>
      <w:pPr>
        <w:spacing w:after="120"/>
      </w:pPr>
    </w:p>
    <w:p>
      <w:pPr>
        <w:keepNext/>
        <w:spacing w:before="360" w:after="160"/>
      </w:pPr>
      <w:r>
        <w:rPr>
          <w:rFonts w:ascii="Arial" w:hAnsi="Arial"/>
          <w:b/>
          <w:color w:val="0F172A"/>
          <w:sz w:val="36"/>
        </w:rPr>
        <w:t>5. Current vs. Target Scope Analysis</w:t>
      </w:r>
    </w:p>
    <w:p>
      <w:pPr>
        <w:spacing w:before="0" w:after="120" w:line="276" w:lineRule="auto"/>
      </w:pPr>
      <w:r>
        <w:rPr>
          <w:rFonts w:ascii="Arial" w:hAnsi="Arial"/>
          <w:i w:val="0"/>
          <w:color w:val="334155"/>
        </w:rPr>
        <w:t>A rigorous audit of the codebase reveals a distinct divergence between the current implemented MVP scope and the ultimate target enterprise vision.</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sz w:val="19"/>
              </w:rPr>
              <w:t>Functional Area</w:t>
            </w:r>
          </w:p>
        </w:tc>
        <w:tc>
          <w:tcPr>
            <w:tcW w:type="dxa" w:w="3120"/>
            <w:shd w:fill="0F172A"/>
          </w:tcPr>
          <w:p>
            <w:r>
              <w:rPr>
                <w:b/>
                <w:color w:val="FFFFFF"/>
                <w:sz w:val="19"/>
              </w:rPr>
              <w:t>Current Implemented Scope (Codebase Reality)</w:t>
            </w:r>
          </w:p>
        </w:tc>
        <w:tc>
          <w:tcPr>
            <w:tcW w:type="dxa" w:w="3120"/>
            <w:shd w:fill="0F172A"/>
          </w:tcPr>
          <w:p>
            <w:r>
              <w:rPr>
                <w:b/>
                <w:color w:val="FFFFFF"/>
                <w:sz w:val="19"/>
              </w:rPr>
              <w:t>Target Enterprise Scope (Production Goal)</w:t>
            </w:r>
          </w:p>
        </w:tc>
      </w:tr>
      <w:tr>
        <w:tc>
          <w:tcPr>
            <w:tcW w:type="dxa" w:w="3120"/>
            <w:shd w:fill="F1F5F9"/>
          </w:tcPr>
          <w:p>
            <w:r>
              <w:rPr>
                <w:sz w:val="18"/>
              </w:rPr>
              <w:t>Authentication</w:t>
            </w:r>
          </w:p>
        </w:tc>
        <w:tc>
          <w:tcPr>
            <w:tcW w:type="dxa" w:w="3120"/>
            <w:shd w:fill="F1F5F9"/>
          </w:tcPr>
          <w:p>
            <w:r>
              <w:rPr>
                <w:sz w:val="18"/>
              </w:rPr>
              <w:t>Phone + 6-digit OTP login, JWT Access/Refresh tokens, AsyncStorage.</w:t>
            </w:r>
          </w:p>
        </w:tc>
        <w:tc>
          <w:tcPr>
            <w:tcW w:type="dxa" w:w="3120"/>
            <w:shd w:fill="F1F5F9"/>
          </w:tcPr>
          <w:p>
            <w:r>
              <w:rPr>
                <w:sz w:val="18"/>
              </w:rPr>
              <w:t>Biometric auth, OAuth2, SMS gateway integration, hardware SecureStore.</w:t>
            </w:r>
          </w:p>
        </w:tc>
      </w:tr>
      <w:tr>
        <w:tc>
          <w:tcPr>
            <w:tcW w:type="dxa" w:w="3120"/>
            <w:shd w:fill="FFFFFF"/>
          </w:tcPr>
          <w:p>
            <w:r>
              <w:rPr>
                <w:sz w:val="18"/>
              </w:rPr>
              <w:t>User Profile</w:t>
            </w:r>
          </w:p>
        </w:tc>
        <w:tc>
          <w:tcPr>
            <w:tcW w:type="dxa" w:w="3120"/>
            <w:shd w:fill="FFFFFF"/>
          </w:tcPr>
          <w:p>
            <w:r>
              <w:rPr>
                <w:sz w:val="18"/>
              </w:rPr>
              <w:t>Personal details, address, profile photo stored in Cloudinary.</w:t>
            </w:r>
          </w:p>
        </w:tc>
        <w:tc>
          <w:tcPr>
            <w:tcW w:type="dxa" w:w="3120"/>
            <w:shd w:fill="FFFFFF"/>
          </w:tcPr>
          <w:p>
            <w:r>
              <w:rPr>
                <w:sz w:val="18"/>
              </w:rPr>
              <w:t>Verified address via PIN API, employment verification, automated geo-tagging.</w:t>
            </w:r>
          </w:p>
        </w:tc>
      </w:tr>
      <w:tr>
        <w:tc>
          <w:tcPr>
            <w:tcW w:type="dxa" w:w="3120"/>
            <w:shd w:fill="F1F5F9"/>
          </w:tcPr>
          <w:p>
            <w:r>
              <w:rPr>
                <w:sz w:val="18"/>
              </w:rPr>
              <w:t>KYC Verification</w:t>
            </w:r>
          </w:p>
        </w:tc>
        <w:tc>
          <w:tcPr>
            <w:tcW w:type="dxa" w:w="3120"/>
            <w:shd w:fill="F1F5F9"/>
          </w:tcPr>
          <w:p>
            <w:r>
              <w:rPr>
                <w:sz w:val="18"/>
              </w:rPr>
              <w:t>Aadhaar OKYC via Sandbox.co.in / Mock, PAN verify, AES-256 encryption.</w:t>
            </w:r>
          </w:p>
        </w:tc>
        <w:tc>
          <w:tcPr>
            <w:tcW w:type="dxa" w:w="3120"/>
            <w:shd w:fill="F1F5F9"/>
          </w:tcPr>
          <w:p>
            <w:r>
              <w:rPr>
                <w:sz w:val="18"/>
              </w:rPr>
              <w:t>Direct DigiLocker API, Video KYC (V-KYC), optical character recognition (OCR).</w:t>
            </w:r>
          </w:p>
        </w:tc>
      </w:tr>
      <w:tr>
        <w:tc>
          <w:tcPr>
            <w:tcW w:type="dxa" w:w="3120"/>
            <w:shd w:fill="FFFFFF"/>
          </w:tcPr>
          <w:p>
            <w:r>
              <w:rPr>
                <w:sz w:val="18"/>
              </w:rPr>
              <w:t>Financial Scoring</w:t>
            </w:r>
          </w:p>
        </w:tc>
        <w:tc>
          <w:tcPr>
            <w:tcW w:type="dxa" w:w="3120"/>
            <w:shd w:fill="FFFFFF"/>
          </w:tcPr>
          <w:p>
            <w:r>
              <w:rPr>
                <w:sz w:val="18"/>
              </w:rPr>
              <w:t>Deterministic 80-point score (CIBIL + Salary + Loans) stored in MongoDB.</w:t>
            </w:r>
          </w:p>
        </w:tc>
        <w:tc>
          <w:tcPr>
            <w:tcW w:type="dxa" w:w="3120"/>
            <w:shd w:fill="FFFFFF"/>
          </w:tcPr>
          <w:p>
            <w:r>
              <w:rPr>
                <w:sz w:val="18"/>
              </w:rPr>
              <w:t>Real-time bureau pull (CIBIL/Experian API), Account Aggregator bank statement fetch.</w:t>
            </w:r>
          </w:p>
        </w:tc>
      </w:tr>
      <w:tr>
        <w:tc>
          <w:tcPr>
            <w:tcW w:type="dxa" w:w="3120"/>
            <w:shd w:fill="F1F5F9"/>
          </w:tcPr>
          <w:p>
            <w:r>
              <w:rPr>
                <w:sz w:val="18"/>
              </w:rPr>
              <w:t>Loan Offers</w:t>
            </w:r>
          </w:p>
        </w:tc>
        <w:tc>
          <w:tcPr>
            <w:tcW w:type="dxa" w:w="3120"/>
            <w:shd w:fill="F1F5F9"/>
          </w:tcPr>
          <w:p>
            <w:r>
              <w:rPr>
                <w:sz w:val="18"/>
              </w:rPr>
              <w:t>Static local catalog (`loans.js`) with 6 categories &amp; mock partner cards.</w:t>
            </w:r>
          </w:p>
        </w:tc>
        <w:tc>
          <w:tcPr>
            <w:tcW w:type="dxa" w:w="3120"/>
            <w:shd w:fill="F1F5F9"/>
          </w:tcPr>
          <w:p>
            <w:r>
              <w:rPr>
                <w:sz w:val="18"/>
              </w:rPr>
              <w:t>Dynamic real-time lender offer engine, risk-based pricing, direct lender APIs.</w:t>
            </w:r>
          </w:p>
        </w:tc>
      </w:tr>
      <w:tr>
        <w:tc>
          <w:tcPr>
            <w:tcW w:type="dxa" w:w="3120"/>
            <w:shd w:fill="FFFFFF"/>
          </w:tcPr>
          <w:p>
            <w:r>
              <w:rPr>
                <w:sz w:val="18"/>
              </w:rPr>
              <w:t>Lead Application</w:t>
            </w:r>
          </w:p>
        </w:tc>
        <w:tc>
          <w:tcPr>
            <w:tcW w:type="dxa" w:w="3120"/>
            <w:shd w:fill="FFFFFF"/>
          </w:tcPr>
          <w:p>
            <w:r>
              <w:rPr>
                <w:sz w:val="18"/>
              </w:rPr>
              <w:t>UI exploration; NO `LoanApplication` model or backend submission API.</w:t>
            </w:r>
          </w:p>
        </w:tc>
        <w:tc>
          <w:tcPr>
            <w:tcW w:type="dxa" w:w="3120"/>
            <w:shd w:fill="FFFFFF"/>
          </w:tcPr>
          <w:p>
            <w:r>
              <w:rPr>
                <w:sz w:val="18"/>
              </w:rPr>
              <w:t>Complete application lifecycle tracking, automated lead routing, lender webhooks.</w:t>
            </w:r>
          </w:p>
        </w:tc>
      </w:tr>
    </w:tbl>
    <w:p>
      <w:pPr>
        <w:spacing w:after="120"/>
      </w:pPr>
    </w:p>
    <w:p>
      <w:pPr>
        <w:keepNext/>
        <w:spacing w:before="360" w:after="160"/>
      </w:pPr>
      <w:r>
        <w:rPr>
          <w:rFonts w:ascii="Arial" w:hAnsi="Arial"/>
          <w:b/>
          <w:color w:val="0F172A"/>
          <w:sz w:val="36"/>
        </w:rPr>
        <w:t>6. User Journey Analysis</w:t>
      </w:r>
    </w:p>
    <w:p>
      <w:pPr>
        <w:spacing w:before="0" w:after="120" w:line="276" w:lineRule="auto"/>
      </w:pPr>
      <w:r>
        <w:rPr>
          <w:rFonts w:ascii="Arial" w:hAnsi="Arial"/>
          <w:i w:val="0"/>
          <w:color w:val="334155"/>
        </w:rPr>
        <w:t>The mobile application executes a linear customer onboarding flow managed by `AppRouter.jsx` and `RootNavigator.js`. The state transition relies on session token availability and profile completeness.</w:t>
      </w:r>
    </w:p>
    <w:p>
      <w:pPr>
        <w:keepNext/>
        <w:spacing w:before="280" w:after="120"/>
      </w:pPr>
      <w:r>
        <w:rPr>
          <w:rFonts w:ascii="Arial" w:hAnsi="Arial"/>
          <w:b/>
          <w:color w:val="1D4ED8"/>
          <w:sz w:val="28"/>
        </w:rPr>
        <w:t>6.1 Mobile Application Navigation Lifecycle</w:t>
      </w:r>
    </w:p>
    <w:p>
      <w:pPr>
        <w:pStyle w:val="ListBullet"/>
        <w:spacing w:before="0" w:after="80" w:line="276" w:lineRule="auto"/>
      </w:pPr>
      <w:r>
        <w:rPr>
          <w:rFonts w:ascii="Arial" w:hAnsi="Arial"/>
          <w:b/>
          <w:color w:val="0F172A"/>
        </w:rPr>
        <w:t xml:space="preserve">1. Startup &amp; Hydration: </w:t>
      </w:r>
      <w:r>
        <w:rPr>
          <w:rFonts w:ascii="Arial" w:hAnsi="Arial"/>
          <w:color w:val="334155"/>
        </w:rPr>
        <w:t>Mobile app boots up, displays SplashScreen, and invokes `StartupScreen.jsx`.</w:t>
      </w:r>
    </w:p>
    <w:p>
      <w:pPr>
        <w:pStyle w:val="ListBullet"/>
        <w:spacing w:before="0" w:after="80" w:line="276" w:lineRule="auto"/>
      </w:pPr>
      <w:r>
        <w:rPr>
          <w:rFonts w:ascii="Arial" w:hAnsi="Arial"/>
          <w:b/>
          <w:color w:val="0F172A"/>
        </w:rPr>
        <w:t xml:space="preserve">2. Token Check: </w:t>
      </w:r>
      <w:r>
        <w:rPr>
          <w:rFonts w:ascii="Arial" w:hAnsi="Arial"/>
          <w:color w:val="334155"/>
        </w:rPr>
        <w:t>`StartupScreen` queries `AsyncStorage` for `accessToken` &amp; `refreshToken`. If absent, redirects to `AuthNavigator`.</w:t>
      </w:r>
    </w:p>
    <w:p>
      <w:pPr>
        <w:pStyle w:val="ListBullet"/>
        <w:spacing w:before="0" w:after="80" w:line="276" w:lineRule="auto"/>
      </w:pPr>
      <w:r>
        <w:rPr>
          <w:rFonts w:ascii="Arial" w:hAnsi="Arial"/>
          <w:b/>
          <w:color w:val="0F172A"/>
        </w:rPr>
        <w:t xml:space="preserve">3. Registration: </w:t>
      </w:r>
      <w:r>
        <w:rPr>
          <w:rFonts w:ascii="Arial" w:hAnsi="Arial"/>
          <w:color w:val="334155"/>
        </w:rPr>
        <w:t>Customer enters phone and email on `RegisterScreen.jsx`. Server generates 6-digit OTP.</w:t>
      </w:r>
    </w:p>
    <w:p>
      <w:pPr>
        <w:pStyle w:val="ListBullet"/>
        <w:spacing w:before="0" w:after="80" w:line="276" w:lineRule="auto"/>
      </w:pPr>
      <w:r>
        <w:rPr>
          <w:rFonts w:ascii="Arial" w:hAnsi="Arial"/>
          <w:b/>
          <w:color w:val="0F172A"/>
        </w:rPr>
        <w:t xml:space="preserve">4. OTP Verification: </w:t>
      </w:r>
      <w:r>
        <w:rPr>
          <w:rFonts w:ascii="Arial" w:hAnsi="Arial"/>
          <w:color w:val="334155"/>
        </w:rPr>
        <w:t>Customer submits OTP on `VerificationCode.jsx`. Server validates OTP, returns JWT tokens, and sets Redux `isAuthenticated=true`.</w:t>
      </w:r>
    </w:p>
    <w:p>
      <w:pPr>
        <w:pStyle w:val="ListBullet"/>
        <w:spacing w:before="0" w:after="80" w:line="276" w:lineRule="auto"/>
      </w:pPr>
      <w:r>
        <w:rPr>
          <w:rFonts w:ascii="Arial" w:hAnsi="Arial"/>
          <w:b/>
          <w:color w:val="0F172A"/>
        </w:rPr>
        <w:t xml:space="preserve">5. Profile Completion: </w:t>
      </w:r>
      <w:r>
        <w:rPr>
          <w:rFonts w:ascii="Arial" w:hAnsi="Arial"/>
          <w:color w:val="334155"/>
        </w:rPr>
        <w:t>Customer is routed to `AppNavigator.jsx`. If `profileCompleted=false`, customer is prompted to complete personal details on `ProfileScreen.jsx`.</w:t>
      </w:r>
    </w:p>
    <w:p>
      <w:pPr>
        <w:pStyle w:val="ListBullet"/>
        <w:spacing w:before="0" w:after="80" w:line="276" w:lineRule="auto"/>
      </w:pPr>
      <w:r>
        <w:rPr>
          <w:rFonts w:ascii="Arial" w:hAnsi="Arial"/>
          <w:b/>
          <w:color w:val="0F172A"/>
        </w:rPr>
        <w:t xml:space="preserve">6. KYC Verification: </w:t>
      </w:r>
      <w:r>
        <w:rPr>
          <w:rFonts w:ascii="Arial" w:hAnsi="Arial"/>
          <w:color w:val="334155"/>
        </w:rPr>
        <w:t>Customer accesses `KycScreen.jsx`, verifying Aadhaar on `AadhaarScreen.jsx` and PAN on `PanScreen.jsx`.</w:t>
      </w:r>
    </w:p>
    <w:p>
      <w:pPr>
        <w:pStyle w:val="ListBullet"/>
        <w:spacing w:before="0" w:after="80" w:line="276" w:lineRule="auto"/>
      </w:pPr>
      <w:r>
        <w:rPr>
          <w:rFonts w:ascii="Arial" w:hAnsi="Arial"/>
          <w:b/>
          <w:color w:val="0F172A"/>
        </w:rPr>
        <w:t xml:space="preserve">7. Eligibility Scoring: </w:t>
      </w:r>
      <w:r>
        <w:rPr>
          <w:rFonts w:ascii="Arial" w:hAnsi="Arial"/>
          <w:color w:val="334155"/>
        </w:rPr>
        <w:t>Customer adjusts sliders on `EligibilityScreen.jsx`. Server scores financial data and opens eligibility status modal.</w:t>
      </w:r>
    </w:p>
    <w:p>
      <w:pPr>
        <w:pStyle w:val="ListBullet"/>
        <w:spacing w:before="0" w:after="80" w:line="276" w:lineRule="auto"/>
      </w:pPr>
      <w:r>
        <w:rPr>
          <w:rFonts w:ascii="Arial" w:hAnsi="Arial"/>
          <w:b/>
          <w:color w:val="0F172A"/>
        </w:rPr>
        <w:t xml:space="preserve">8. Loan Discovery: </w:t>
      </w:r>
      <w:r>
        <w:rPr>
          <w:rFonts w:ascii="Arial" w:hAnsi="Arial"/>
          <w:color w:val="334155"/>
        </w:rPr>
        <w:t>Customer browses `LoanExplorerScreen.jsx` and filters partner cards on `LoanOffersScreen.jsx`.</w:t>
      </w:r>
    </w:p>
    <w:p>
      <w:pPr>
        <w:keepNext/>
        <w:spacing w:before="360" w:after="160"/>
      </w:pPr>
      <w:r>
        <w:rPr>
          <w:rFonts w:ascii="Arial" w:hAnsi="Arial"/>
          <w:b/>
          <w:color w:val="0F172A"/>
          <w:sz w:val="36"/>
        </w:rPr>
        <w:t>7. Technical Architecture Analysis</w:t>
      </w:r>
    </w:p>
    <w:p>
      <w:pPr>
        <w:spacing w:before="0" w:after="120" w:line="276" w:lineRule="auto"/>
      </w:pPr>
      <w:r>
        <w:rPr>
          <w:rFonts w:ascii="Arial" w:hAnsi="Arial"/>
          <w:i w:val="0"/>
          <w:color w:val="334155"/>
        </w:rPr>
        <w:t>FinPilot follows a decoupled 3-tier client-server architecture consisting of a React Native mobile client, a stateless Node.js REST API server, and a MongoDB database layer.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F172A"/>
              <w:bottom w:val="none"/>
              <w:right w:val="none"/>
            </w:tcBorders>
          </w:tcPr>
          <w:p>
            <w:pPr>
              <w:spacing w:before="0" w:after="40"/>
            </w:pPr>
            <w:r>
              <w:rPr>
                <w:rFonts w:ascii="Arial" w:hAnsi="Arial"/>
                <w:b/>
                <w:color w:val="1D4ED8"/>
                <w:sz w:val="21"/>
              </w:rPr>
              <w:t>HIGH-LEVEL SYSTEM INTERACTION ARCHITECTURE</w:t>
              <w:br/>
            </w:r>
            <w:r>
              <w:rPr>
                <w:rFonts w:ascii="Arial" w:hAnsi="Arial"/>
                <w:color w:val="334155"/>
                <w:sz w:val="19"/>
              </w:rPr>
              <w:t>Client (React Native / Expo)  &lt;---&gt;  REST API (Node.js / Express)  &lt;---&gt;  Database (MongoDB / Mongoose)</w:t>
              <w:br/>
              <w:t xml:space="preserve">                                           │</w:t>
              <w:br/>
              <w:t xml:space="preserve">                                           ├── Cloudinary API (Document Storage)</w:t>
              <w:br/>
              <w:t xml:space="preserve">                                           └── Sandbox.co.in API (Aadhaar/PAN Verification)</w:t>
            </w:r>
          </w:p>
        </w:tc>
      </w:tr>
    </w:tbl>
    <w:p>
      <w:pPr>
        <w:spacing w:after="80"/>
      </w:pPr>
    </w:p>
    <w:p>
      <w:pPr>
        <w:keepNext/>
        <w:spacing w:before="360" w:after="160"/>
      </w:pPr>
      <w:r>
        <w:rPr>
          <w:rFonts w:ascii="Arial" w:hAnsi="Arial"/>
          <w:b/>
          <w:color w:val="0F172A"/>
          <w:sz w:val="36"/>
        </w:rPr>
        <w:t>8. Technology Stack Assessment</w:t>
      </w:r>
    </w:p>
    <w:p>
      <w:pPr>
        <w:spacing w:before="0" w:after="120" w:line="276" w:lineRule="auto"/>
      </w:pPr>
      <w:r>
        <w:rPr>
          <w:rFonts w:ascii="Arial" w:hAnsi="Arial"/>
          <w:i w:val="0"/>
          <w:color w:val="334155"/>
        </w:rPr>
        <w:t>The technology stack has been evaluated for technical suitability, maintainability, and scalability:</w:t>
      </w:r>
    </w:p>
    <w:p>
      <w:pPr>
        <w:pStyle w:val="ListBullet"/>
        <w:spacing w:before="0" w:after="80" w:line="276" w:lineRule="auto"/>
      </w:pPr>
      <w:r>
        <w:rPr>
          <w:rFonts w:ascii="Arial" w:hAnsi="Arial"/>
          <w:b/>
          <w:color w:val="0F172A"/>
        </w:rPr>
        <w:t xml:space="preserve">Frontend Stack: </w:t>
      </w:r>
      <w:r>
        <w:rPr>
          <w:rFonts w:ascii="Arial" w:hAnsi="Arial"/>
          <w:color w:val="334155"/>
        </w:rPr>
        <w:t>React Native (Expo SDK ~52.0), Redux Toolkit, Redux Persist, React Navigation v6, React Native Reanimated v3, Axios, Expo Image Picker.</w:t>
      </w:r>
    </w:p>
    <w:p>
      <w:pPr>
        <w:pStyle w:val="ListBullet"/>
        <w:spacing w:before="0" w:after="80" w:line="276" w:lineRule="auto"/>
      </w:pPr>
      <w:r>
        <w:rPr>
          <w:rFonts w:ascii="Arial" w:hAnsi="Arial"/>
          <w:b/>
          <w:color w:val="0F172A"/>
        </w:rPr>
        <w:t xml:space="preserve">Backend Stack: </w:t>
      </w:r>
      <w:r>
        <w:rPr>
          <w:rFonts w:ascii="Arial" w:hAnsi="Arial"/>
          <w:color w:val="334155"/>
        </w:rPr>
        <w:t>Node.js (v18+), Express.js, Mongoose ODM, Zod Schema Validation, jsonwebtoken, crypto (built-in Node module), Multer, multer-storage-cloudinary.</w:t>
      </w:r>
    </w:p>
    <w:p>
      <w:pPr>
        <w:pStyle w:val="ListBullet"/>
        <w:spacing w:before="0" w:after="80" w:line="276" w:lineRule="auto"/>
      </w:pPr>
      <w:r>
        <w:rPr>
          <w:rFonts w:ascii="Arial" w:hAnsi="Arial"/>
          <w:b/>
          <w:color w:val="0F172A"/>
        </w:rPr>
        <w:t xml:space="preserve">Database Layer: </w:t>
      </w:r>
      <w:r>
        <w:rPr>
          <w:rFonts w:ascii="Arial" w:hAnsi="Arial"/>
          <w:color w:val="334155"/>
        </w:rPr>
        <w:t>MongoDB Atlas / Community Server (Document Database).</w:t>
      </w:r>
    </w:p>
    <w:p>
      <w:pPr>
        <w:pStyle w:val="ListBullet"/>
        <w:spacing w:before="0" w:after="80" w:line="276" w:lineRule="auto"/>
      </w:pPr>
      <w:r>
        <w:rPr>
          <w:rFonts w:ascii="Arial" w:hAnsi="Arial"/>
          <w:b/>
          <w:color w:val="0F172A"/>
        </w:rPr>
        <w:t xml:space="preserve">Integrations: </w:t>
      </w:r>
      <w:r>
        <w:rPr>
          <w:rFonts w:ascii="Arial" w:hAnsi="Arial"/>
          <w:color w:val="334155"/>
        </w:rPr>
        <w:t>Sandbox.co.in API (Aadhaar OKYC &amp; PAN match), Cloudinary (Image Cloud Storage).</w:t>
      </w:r>
    </w:p>
    <w:p>
      <w:pPr>
        <w:keepNext/>
        <w:spacing w:before="360" w:after="160"/>
      </w:pPr>
      <w:r>
        <w:rPr>
          <w:rFonts w:ascii="Arial" w:hAnsi="Arial"/>
          <w:b/>
          <w:color w:val="0F172A"/>
          <w:sz w:val="36"/>
        </w:rPr>
        <w:t>9. Backend Architecture Analysis</w:t>
      </w:r>
    </w:p>
    <w:p>
      <w:pPr>
        <w:spacing w:before="0" w:after="120" w:line="276" w:lineRule="auto"/>
      </w:pPr>
      <w:r>
        <w:rPr>
          <w:rFonts w:ascii="Arial" w:hAnsi="Arial"/>
          <w:i w:val="0"/>
          <w:color w:val="334155"/>
        </w:rPr>
        <w:t>The backend directory (`backend/src`) is structured using a Layered Controller-Service-Model Pattern, enforcing strict separation of concerns.</w:t>
      </w:r>
    </w:p>
    <w:p>
      <w:pPr>
        <w:pStyle w:val="ListBullet"/>
        <w:spacing w:before="0" w:after="80" w:line="276" w:lineRule="auto"/>
      </w:pPr>
      <w:r>
        <w:rPr>
          <w:rFonts w:ascii="Arial" w:hAnsi="Arial"/>
          <w:b/>
          <w:color w:val="0F172A"/>
        </w:rPr>
        <w:t xml:space="preserve">Route Layer (`routes/`): </w:t>
      </w:r>
      <w:r>
        <w:rPr>
          <w:rFonts w:ascii="Arial" w:hAnsi="Arial"/>
          <w:color w:val="334155"/>
        </w:rPr>
        <w:t>Defines endpoint mappings, applying authentication and file upload middleware.</w:t>
      </w:r>
    </w:p>
    <w:p>
      <w:pPr>
        <w:pStyle w:val="ListBullet"/>
        <w:spacing w:before="0" w:after="80" w:line="276" w:lineRule="auto"/>
      </w:pPr>
      <w:r>
        <w:rPr>
          <w:rFonts w:ascii="Arial" w:hAnsi="Arial"/>
          <w:b/>
          <w:color w:val="0F172A"/>
        </w:rPr>
        <w:t xml:space="preserve">Controller Layer (`controllers/`): </w:t>
      </w:r>
      <w:r>
        <w:rPr>
          <w:rFonts w:ascii="Arial" w:hAnsi="Arial"/>
          <w:color w:val="334155"/>
        </w:rPr>
        <w:t>Executes Zod payload validation (`validations/`), parses HTTP requests, calls business services, and formats JSON responses.</w:t>
      </w:r>
    </w:p>
    <w:p>
      <w:pPr>
        <w:pStyle w:val="ListBullet"/>
        <w:spacing w:before="0" w:after="80" w:line="276" w:lineRule="auto"/>
      </w:pPr>
      <w:r>
        <w:rPr>
          <w:rFonts w:ascii="Arial" w:hAnsi="Arial"/>
          <w:b/>
          <w:color w:val="0F172A"/>
        </w:rPr>
        <w:t xml:space="preserve">Service Layer (`services/`): </w:t>
      </w:r>
      <w:r>
        <w:rPr>
          <w:rFonts w:ascii="Arial" w:hAnsi="Arial"/>
          <w:color w:val="334155"/>
        </w:rPr>
        <w:t>Encapsulates core business logic (crypto encryption, OTP generation, Sandbox API HTTPS calls, eligibility scoring).</w:t>
      </w:r>
    </w:p>
    <w:p>
      <w:pPr>
        <w:pStyle w:val="ListBullet"/>
        <w:spacing w:before="0" w:after="80" w:line="276" w:lineRule="auto"/>
      </w:pPr>
      <w:r>
        <w:rPr>
          <w:rFonts w:ascii="Arial" w:hAnsi="Arial"/>
          <w:b/>
          <w:color w:val="0F172A"/>
        </w:rPr>
        <w:t xml:space="preserve">Model Layer (`models/`): </w:t>
      </w:r>
      <w:r>
        <w:rPr>
          <w:rFonts w:ascii="Arial" w:hAnsi="Arial"/>
          <w:color w:val="334155"/>
        </w:rPr>
        <w:t>Defines Mongoose schemas, data types, indexes, and field constraints.</w:t>
      </w:r>
    </w:p>
    <w:p>
      <w:pPr>
        <w:keepNext/>
        <w:spacing w:before="360" w:after="160"/>
      </w:pPr>
      <w:r>
        <w:rPr>
          <w:rFonts w:ascii="Arial" w:hAnsi="Arial"/>
          <w:b/>
          <w:color w:val="0F172A"/>
          <w:sz w:val="36"/>
        </w:rPr>
        <w:t>10. Mobile Architecture Analysis</w:t>
      </w:r>
    </w:p>
    <w:p>
      <w:pPr>
        <w:spacing w:before="0" w:after="120" w:line="276" w:lineRule="auto"/>
      </w:pPr>
      <w:r>
        <w:rPr>
          <w:rFonts w:ascii="Arial" w:hAnsi="Arial"/>
          <w:i w:val="0"/>
          <w:color w:val="334155"/>
        </w:rPr>
        <w:t>The mobile repository (`mobile/src`) enforces clean state management using Redux Toolkit combined with Redux Persist for local state caching.</w:t>
      </w:r>
    </w:p>
    <w:p>
      <w:pPr>
        <w:pStyle w:val="ListBullet"/>
        <w:spacing w:before="0" w:after="80" w:line="276" w:lineRule="auto"/>
      </w:pPr>
      <w:r>
        <w:rPr>
          <w:rFonts w:ascii="Arial" w:hAnsi="Arial"/>
          <w:b/>
          <w:color w:val="0F172A"/>
        </w:rPr>
        <w:t xml:space="preserve">Redux Global State: </w:t>
      </w:r>
      <w:r>
        <w:rPr>
          <w:rFonts w:ascii="Arial" w:hAnsi="Arial"/>
          <w:color w:val="334155"/>
        </w:rPr>
        <w:t>Root store (`redux/store.js`) combines `auth`, `user`, `kyc`, and `eligibility` slices. Whitelists `auth` and `kyc` in AsyncStorage.</w:t>
      </w:r>
    </w:p>
    <w:p>
      <w:pPr>
        <w:pStyle w:val="ListBullet"/>
        <w:spacing w:before="0" w:after="80" w:line="276" w:lineRule="auto"/>
      </w:pPr>
      <w:r>
        <w:rPr>
          <w:rFonts w:ascii="Arial" w:hAnsi="Arial"/>
          <w:b/>
          <w:color w:val="0F172A"/>
        </w:rPr>
        <w:t xml:space="preserve">API Service Layer: </w:t>
      </w:r>
      <w:r>
        <w:rPr>
          <w:rFonts w:ascii="Arial" w:hAnsi="Arial"/>
          <w:color w:val="334155"/>
        </w:rPr>
        <w:t>Centralized API functions (`api/`) wrap Axios calls to backend endpoints.</w:t>
      </w:r>
    </w:p>
    <w:p>
      <w:pPr>
        <w:pStyle w:val="ListBullet"/>
        <w:spacing w:before="0" w:after="80" w:line="276" w:lineRule="auto"/>
      </w:pPr>
      <w:r>
        <w:rPr>
          <w:rFonts w:ascii="Arial" w:hAnsi="Arial"/>
          <w:b/>
          <w:color w:val="0F172A"/>
        </w:rPr>
        <w:t xml:space="preserve">UI/UX Components: </w:t>
      </w:r>
      <w:r>
        <w:rPr>
          <w:rFonts w:ascii="Arial" w:hAnsi="Arial"/>
          <w:color w:val="334155"/>
        </w:rPr>
        <w:t>Custom design system utilizing `Colors` (`theme/colors.js`), custom fonts, safe-area wrappers (`Screen.js`), and shimmer skeleton loaders (`HomeSkeleton.js`).</w:t>
      </w:r>
    </w:p>
    <w:p>
      <w:pPr>
        <w:keepNext/>
        <w:spacing w:before="360" w:after="160"/>
      </w:pPr>
      <w:r>
        <w:rPr>
          <w:rFonts w:ascii="Arial" w:hAnsi="Arial"/>
          <w:b/>
          <w:color w:val="0F172A"/>
          <w:sz w:val="36"/>
        </w:rPr>
        <w:t>11. Database &amp; Data Model Analysis</w:t>
      </w:r>
    </w:p>
    <w:p>
      <w:pPr>
        <w:spacing w:before="0" w:after="120" w:line="276" w:lineRule="auto"/>
      </w:pPr>
      <w:r>
        <w:rPr>
          <w:rFonts w:ascii="Arial" w:hAnsi="Arial"/>
          <w:i w:val="0"/>
          <w:color w:val="334155"/>
        </w:rPr>
        <w:t>The database layer consists of 5 active Mongoose schemas stored in MongoDB. The schemas utilize unique indexes and object references to maintain data integrity.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Model Name</w:t>
            </w:r>
          </w:p>
        </w:tc>
        <w:tc>
          <w:tcPr>
            <w:tcW w:type="dxa" w:w="2340"/>
            <w:shd w:fill="0F172A"/>
          </w:tcPr>
          <w:p>
            <w:r>
              <w:rPr>
                <w:b/>
                <w:color w:val="FFFFFF"/>
                <w:sz w:val="19"/>
              </w:rPr>
              <w:t>Collection</w:t>
            </w:r>
          </w:p>
        </w:tc>
        <w:tc>
          <w:tcPr>
            <w:tcW w:type="dxa" w:w="2340"/>
            <w:shd w:fill="0F172A"/>
          </w:tcPr>
          <w:p>
            <w:r>
              <w:rPr>
                <w:b/>
                <w:color w:val="FFFFFF"/>
                <w:sz w:val="19"/>
              </w:rPr>
              <w:t>Primary Fields &amp; Types</w:t>
            </w:r>
          </w:p>
        </w:tc>
        <w:tc>
          <w:tcPr>
            <w:tcW w:type="dxa" w:w="2340"/>
            <w:shd w:fill="0F172A"/>
          </w:tcPr>
          <w:p>
            <w:r>
              <w:rPr>
                <w:b/>
                <w:color w:val="FFFFFF"/>
                <w:sz w:val="19"/>
              </w:rPr>
              <w:t>Key Constraints &amp; Security</w:t>
            </w:r>
          </w:p>
        </w:tc>
      </w:tr>
      <w:tr>
        <w:tc>
          <w:tcPr>
            <w:tcW w:type="dxa" w:w="2340"/>
            <w:shd w:fill="F1F5F9"/>
          </w:tcPr>
          <w:p>
            <w:r>
              <w:rPr>
                <w:sz w:val="17"/>
              </w:rPr>
              <w:t>User</w:t>
            </w:r>
          </w:p>
        </w:tc>
        <w:tc>
          <w:tcPr>
            <w:tcW w:type="dxa" w:w="2340"/>
            <w:shd w:fill="F1F5F9"/>
          </w:tcPr>
          <w:p>
            <w:r>
              <w:rPr>
                <w:sz w:val="17"/>
              </w:rPr>
              <w:t>users</w:t>
            </w:r>
          </w:p>
        </w:tc>
        <w:tc>
          <w:tcPr>
            <w:tcW w:type="dxa" w:w="2340"/>
            <w:shd w:fill="F1F5F9"/>
          </w:tcPr>
          <w:p>
            <w:r>
              <w:rPr>
                <w:sz w:val="17"/>
              </w:rPr>
              <w:t>phone (Number), email (String), name, dob, profileImage, gender, address, city, state, pincode, isVerified, profileCompleted, kycCompleted, refreshToken</w:t>
            </w:r>
          </w:p>
        </w:tc>
        <w:tc>
          <w:tcPr>
            <w:tcW w:type="dxa" w:w="2340"/>
            <w:shd w:fill="F1F5F9"/>
          </w:tcPr>
          <w:p>
            <w:r>
              <w:rPr>
                <w:sz w:val="17"/>
              </w:rPr>
              <w:t>phone: unique, required; email: unique, sparse; timestamps enabled.</w:t>
            </w:r>
          </w:p>
        </w:tc>
      </w:tr>
      <w:tr>
        <w:tc>
          <w:tcPr>
            <w:tcW w:type="dxa" w:w="2340"/>
            <w:shd w:fill="FFFFFF"/>
          </w:tcPr>
          <w:p>
            <w:r>
              <w:rPr>
                <w:sz w:val="17"/>
              </w:rPr>
              <w:t>Otp</w:t>
            </w:r>
          </w:p>
        </w:tc>
        <w:tc>
          <w:tcPr>
            <w:tcW w:type="dxa" w:w="2340"/>
            <w:shd w:fill="FFFFFF"/>
          </w:tcPr>
          <w:p>
            <w:r>
              <w:rPr>
                <w:sz w:val="17"/>
              </w:rPr>
              <w:t>otps</w:t>
            </w:r>
          </w:p>
        </w:tc>
        <w:tc>
          <w:tcPr>
            <w:tcW w:type="dxa" w:w="2340"/>
            <w:shd w:fill="FFFFFF"/>
          </w:tcPr>
          <w:p>
            <w:r>
              <w:rPr>
                <w:sz w:val="17"/>
              </w:rPr>
              <w:t>phone (String), otp (String), expiresAt (Date), attempts (Number)</w:t>
            </w:r>
          </w:p>
        </w:tc>
        <w:tc>
          <w:tcPr>
            <w:tcW w:type="dxa" w:w="2340"/>
            <w:shd w:fill="FFFFFF"/>
          </w:tcPr>
          <w:p>
            <w:r>
              <w:rPr>
                <w:sz w:val="17"/>
              </w:rPr>
              <w:t>phone: index=true; TTL expiration logic in controller.</w:t>
            </w:r>
          </w:p>
        </w:tc>
      </w:tr>
      <w:tr>
        <w:tc>
          <w:tcPr>
            <w:tcW w:type="dxa" w:w="2340"/>
            <w:shd w:fill="F1F5F9"/>
          </w:tcPr>
          <w:p>
            <w:r>
              <w:rPr>
                <w:sz w:val="17"/>
              </w:rPr>
              <w:t>KYC</w:t>
            </w:r>
          </w:p>
        </w:tc>
        <w:tc>
          <w:tcPr>
            <w:tcW w:type="dxa" w:w="2340"/>
            <w:shd w:fill="F1F5F9"/>
          </w:tcPr>
          <w:p>
            <w:r>
              <w:rPr>
                <w:sz w:val="17"/>
              </w:rPr>
              <w:t>kycs</w:t>
            </w:r>
          </w:p>
        </w:tc>
        <w:tc>
          <w:tcPr>
            <w:tcW w:type="dxa" w:w="2340"/>
            <w:shd w:fill="F1F5F9"/>
          </w:tcPr>
          <w:p>
            <w:r>
              <w:rPr>
                <w:sz w:val="17"/>
              </w:rPr>
              <w:t>userId (Ref: User), aadhaar (Obj), pan (Obj), aadhaarFront, aadhaarBack, panImage, aadhaarVerified, panVerified, status, kycCompleted</w:t>
            </w:r>
          </w:p>
        </w:tc>
        <w:tc>
          <w:tcPr>
            <w:tcW w:type="dxa" w:w="2340"/>
            <w:shd w:fill="F1F5F9"/>
          </w:tcPr>
          <w:p>
            <w:r>
              <w:rPr>
                <w:sz w:val="17"/>
              </w:rPr>
              <w:t>userId: unique, required; aadhaar/pan encrypted fields (encrypted, iv, authTag, masked).</w:t>
            </w:r>
          </w:p>
        </w:tc>
      </w:tr>
      <w:tr>
        <w:tc>
          <w:tcPr>
            <w:tcW w:type="dxa" w:w="2340"/>
            <w:shd w:fill="FFFFFF"/>
          </w:tcPr>
          <w:p>
            <w:r>
              <w:rPr>
                <w:sz w:val="17"/>
              </w:rPr>
              <w:t>FinancialProfile</w:t>
            </w:r>
          </w:p>
        </w:tc>
        <w:tc>
          <w:tcPr>
            <w:tcW w:type="dxa" w:w="2340"/>
            <w:shd w:fill="FFFFFF"/>
          </w:tcPr>
          <w:p>
            <w:r>
              <w:rPr>
                <w:sz w:val="17"/>
              </w:rPr>
              <w:t>financialprofiles</w:t>
            </w:r>
          </w:p>
        </w:tc>
        <w:tc>
          <w:tcPr>
            <w:tcW w:type="dxa" w:w="2340"/>
            <w:shd w:fill="FFFFFF"/>
          </w:tcPr>
          <w:p>
            <w:r>
              <w:rPr>
                <w:sz w:val="17"/>
              </w:rPr>
              <w:t>userId (Ref: User), monthlySalary, employmentType, company, existingLoans, existingEmi, cibilScore, cibilSource, cibilVerified</w:t>
            </w:r>
          </w:p>
        </w:tc>
        <w:tc>
          <w:tcPr>
            <w:tcW w:type="dxa" w:w="2340"/>
            <w:shd w:fill="FFFFFF"/>
          </w:tcPr>
          <w:p>
            <w:r>
              <w:rPr>
                <w:sz w:val="17"/>
              </w:rPr>
              <w:t>userId: unique, required, index; cibilScore min:300, max:900.</w:t>
            </w:r>
          </w:p>
        </w:tc>
      </w:tr>
      <w:tr>
        <w:tc>
          <w:tcPr>
            <w:tcW w:type="dxa" w:w="2340"/>
            <w:shd w:fill="F1F5F9"/>
          </w:tcPr>
          <w:p>
            <w:r>
              <w:rPr>
                <w:sz w:val="17"/>
              </w:rPr>
              <w:t>Eligibility</w:t>
            </w:r>
          </w:p>
        </w:tc>
        <w:tc>
          <w:tcPr>
            <w:tcW w:type="dxa" w:w="2340"/>
            <w:shd w:fill="F1F5F9"/>
          </w:tcPr>
          <w:p>
            <w:r>
              <w:rPr>
                <w:sz w:val="17"/>
              </w:rPr>
              <w:t>eligibilities</w:t>
            </w:r>
          </w:p>
        </w:tc>
        <w:tc>
          <w:tcPr>
            <w:tcW w:type="dxa" w:w="2340"/>
            <w:shd w:fill="F1F5F9"/>
          </w:tcPr>
          <w:p>
            <w:r>
              <w:rPr>
                <w:sz w:val="17"/>
              </w:rPr>
              <w:t>user (Ref: User), score (Number), status (enum: eligible, not_eligible), breakdown (cibil, salary, existingLoans), calculatedAt</w:t>
            </w:r>
          </w:p>
        </w:tc>
        <w:tc>
          <w:tcPr>
            <w:tcW w:type="dxa" w:w="2340"/>
            <w:shd w:fill="F1F5F9"/>
          </w:tcPr>
          <w:p>
            <w:r>
              <w:rPr>
                <w:sz w:val="17"/>
              </w:rPr>
              <w:t>user: unique, required, index; score min:0, max:80.</w:t>
            </w:r>
          </w:p>
        </w:tc>
      </w:tr>
    </w:tbl>
    <w:p>
      <w:pPr>
        <w:spacing w:after="120"/>
      </w:pPr>
    </w:p>
    <w:p>
      <w:pPr>
        <w:keepNext/>
        <w:spacing w:before="360" w:after="160"/>
      </w:pPr>
      <w:r>
        <w:rPr>
          <w:rFonts w:ascii="Arial" w:hAnsi="Arial"/>
          <w:b/>
          <w:color w:val="0F172A"/>
          <w:sz w:val="36"/>
        </w:rPr>
        <w:t>12. Loan Eligibility Engine Analysis</w:t>
      </w:r>
    </w:p>
    <w:p>
      <w:pPr>
        <w:spacing w:before="0" w:after="120" w:line="276" w:lineRule="auto"/>
      </w:pPr>
      <w:r>
        <w:rPr>
          <w:rFonts w:ascii="Arial" w:hAnsi="Arial"/>
          <w:i w:val="0"/>
          <w:color w:val="334155"/>
        </w:rPr>
        <w:t>The core business differentiator of FinPilot is its automated 80-point eligibility scoring engine (`backend/src/services/eligibility.service.js`). The calculation is deterministic and server-enforced.</w:t>
      </w:r>
    </w:p>
    <w:p>
      <w:pPr>
        <w:keepNext/>
        <w:spacing w:before="280" w:after="120"/>
      </w:pPr>
      <w:r>
        <w:rPr>
          <w:rFonts w:ascii="Arial" w:hAnsi="Arial"/>
          <w:b/>
          <w:color w:val="1D4ED8"/>
          <w:sz w:val="28"/>
        </w:rPr>
        <w:t>12.1 Scoring Matrix Breakdown</w:t>
      </w:r>
    </w:p>
    <w:p>
      <w:pPr>
        <w:spacing w:before="0" w:after="120" w:line="276" w:lineRule="auto"/>
      </w:pPr>
      <w:r>
        <w:rPr>
          <w:rFonts w:ascii="Arial" w:hAnsi="Arial"/>
          <w:i w:val="0"/>
          <w:color w:val="334155"/>
        </w:rPr>
        <w:t>The scoring model evaluates three financial parameters:</w:t>
      </w:r>
    </w:p>
    <w:p>
      <w:pPr>
        <w:pStyle w:val="ListBullet"/>
        <w:spacing w:before="0" w:after="80" w:line="276" w:lineRule="auto"/>
      </w:pPr>
      <w:r>
        <w:rPr>
          <w:rFonts w:ascii="Arial" w:hAnsi="Arial"/>
          <w:b/>
          <w:color w:val="0F172A"/>
        </w:rPr>
        <w:t xml:space="preserve">1. CIBIL Score Points (Max 30): </w:t>
      </w:r>
      <w:r>
        <w:rPr>
          <w:rFonts w:ascii="Arial" w:hAnsi="Arial"/>
          <w:color w:val="334155"/>
        </w:rPr>
        <w:t>Score &gt;= 750 -&gt; 30 Points | Score &gt;= 700 -&gt; 20 Points | Score &gt;= 650 -&gt; 10 Points | Score &lt; 650 -&gt; 0 Points.</w:t>
      </w:r>
    </w:p>
    <w:p>
      <w:pPr>
        <w:pStyle w:val="ListBullet"/>
        <w:spacing w:before="0" w:after="80" w:line="276" w:lineRule="auto"/>
      </w:pPr>
      <w:r>
        <w:rPr>
          <w:rFonts w:ascii="Arial" w:hAnsi="Arial"/>
          <w:b/>
          <w:color w:val="0F172A"/>
        </w:rPr>
        <w:t xml:space="preserve">2. Monthly Salary Points (Max 20): </w:t>
      </w:r>
      <w:r>
        <w:rPr>
          <w:rFonts w:ascii="Arial" w:hAnsi="Arial"/>
          <w:color w:val="334155"/>
        </w:rPr>
        <w:t>Salary &gt;= ₹50,000 -&gt; 20 Points | Salary &gt;= ₹30,000 -&gt; 10 Points | Salary &lt; ₹30,000 -&gt; 0 Points.</w:t>
      </w:r>
    </w:p>
    <w:p>
      <w:pPr>
        <w:pStyle w:val="ListBullet"/>
        <w:spacing w:before="0" w:after="80" w:line="276" w:lineRule="auto"/>
      </w:pPr>
      <w:r>
        <w:rPr>
          <w:rFonts w:ascii="Arial" w:hAnsi="Arial"/>
          <w:b/>
          <w:color w:val="0F172A"/>
        </w:rPr>
        <w:t xml:space="preserve">3. Existing Loans Points (Max 30): </w:t>
      </w:r>
      <w:r>
        <w:rPr>
          <w:rFonts w:ascii="Arial" w:hAnsi="Arial"/>
          <w:color w:val="334155"/>
        </w:rPr>
        <w:t>0 Active Loans -&gt; 30 Points | 1 Active Loan -&gt; 20 Points | 2 Active Loans -&gt; 10 Points | &gt;= 3 Active Loans -&gt; 0 Points.</w:t>
      </w:r>
    </w:p>
    <w:p>
      <w:pPr>
        <w:keepNext/>
        <w:spacing w:before="280" w:after="120"/>
      </w:pPr>
      <w:r>
        <w:rPr>
          <w:rFonts w:ascii="Arial" w:hAnsi="Arial"/>
          <w:b/>
          <w:color w:val="1D4ED8"/>
          <w:sz w:val="28"/>
        </w:rPr>
        <w:t>12.2 Decision Threshold Formula</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D4ED8"/>
              <w:bottom w:val="none"/>
              <w:right w:val="none"/>
            </w:tcBorders>
          </w:tcPr>
          <w:p>
            <w:pPr>
              <w:spacing w:before="0" w:after="40"/>
            </w:pPr>
            <w:r>
              <w:rPr>
                <w:rFonts w:ascii="Arial" w:hAnsi="Arial"/>
                <w:b/>
                <w:color w:val="1D4ED8"/>
                <w:sz w:val="21"/>
              </w:rPr>
              <w:t>DETERMINISTIC SCORING FORMULA</w:t>
              <w:br/>
            </w:r>
            <w:r>
              <w:rPr>
                <w:rFonts w:ascii="Arial" w:hAnsi="Arial"/>
                <w:color w:val="334155"/>
                <w:sz w:val="19"/>
              </w:rPr>
              <w:t>Total Score = CIBIL Points + Salary Points + Existing Loan Points  (Maximum: 80 Points)</w:t>
              <w:br/>
              <w:br/>
              <w:t>Eligibility Decision = IF (Total Score &gt;= 70) THEN 'eligible' ELSE 'not_eligible'</w:t>
            </w:r>
          </w:p>
        </w:tc>
      </w:tr>
    </w:tbl>
    <w:p>
      <w:pPr>
        <w:spacing w:after="80"/>
      </w:pPr>
    </w:p>
    <w:p>
      <w:pPr>
        <w:spacing w:before="0" w:after="120" w:line="276" w:lineRule="auto"/>
      </w:pPr>
      <w:r>
        <w:rPr>
          <w:rFonts w:ascii="Arial" w:hAnsi="Arial"/>
          <w:i w:val="0"/>
          <w:color w:val="334155"/>
        </w:rPr>
        <w:t>Notice: The eligibility score represents an internal preliminary qualification metric. It DOES NOT guarantee loan approval by partner banks.</w:t>
      </w:r>
    </w:p>
    <w:p>
      <w:pPr>
        <w:keepNext/>
        <w:spacing w:before="360" w:after="160"/>
      </w:pPr>
      <w:r>
        <w:rPr>
          <w:rFonts w:ascii="Arial" w:hAnsi="Arial"/>
          <w:b/>
          <w:color w:val="0F172A"/>
          <w:sz w:val="36"/>
        </w:rPr>
        <w:t>13. KYC &amp; Security Architecture Analysis</w:t>
      </w:r>
    </w:p>
    <w:p>
      <w:pPr>
        <w:spacing w:before="0" w:after="120" w:line="276" w:lineRule="auto"/>
      </w:pPr>
      <w:r>
        <w:rPr>
          <w:rFonts w:ascii="Arial" w:hAnsi="Arial"/>
          <w:i w:val="0"/>
          <w:color w:val="334155"/>
        </w:rPr>
        <w:t>FinPilot implements robust cryptographic data protection for sensitive customer PII using AES-256-GCM authenticated encryption (`backend/src/services/encryption.service.js`).</w:t>
      </w:r>
    </w:p>
    <w:p>
      <w:pPr>
        <w:keepNext/>
        <w:spacing w:before="280" w:after="120"/>
      </w:pPr>
      <w:r>
        <w:rPr>
          <w:rFonts w:ascii="Arial" w:hAnsi="Arial"/>
          <w:b/>
          <w:color w:val="1D4ED8"/>
          <w:sz w:val="28"/>
        </w:rPr>
        <w:t>13.1 Cryptographic Implementation</w:t>
      </w:r>
    </w:p>
    <w:p>
      <w:pPr>
        <w:pStyle w:val="ListBullet"/>
        <w:spacing w:before="0" w:after="80" w:line="276" w:lineRule="auto"/>
      </w:pPr>
      <w:r>
        <w:rPr>
          <w:rFonts w:ascii="Arial" w:hAnsi="Arial"/>
          <w:b/>
          <w:color w:val="0F172A"/>
        </w:rPr>
        <w:t xml:space="preserve">Algorithm: </w:t>
      </w:r>
      <w:r>
        <w:rPr>
          <w:rFonts w:ascii="Arial" w:hAnsi="Arial"/>
          <w:color w:val="334155"/>
        </w:rPr>
        <w:t>Utilizes Node.js `crypto` module with AES-256-GCM mode.</w:t>
      </w:r>
    </w:p>
    <w:p>
      <w:pPr>
        <w:pStyle w:val="ListBullet"/>
        <w:spacing w:before="0" w:after="80" w:line="276" w:lineRule="auto"/>
      </w:pPr>
      <w:r>
        <w:rPr>
          <w:rFonts w:ascii="Arial" w:hAnsi="Arial"/>
          <w:b/>
          <w:color w:val="0F172A"/>
        </w:rPr>
        <w:t xml:space="preserve">Encryption Key: </w:t>
      </w:r>
      <w:r>
        <w:rPr>
          <w:rFonts w:ascii="Arial" w:hAnsi="Arial"/>
          <w:color w:val="334155"/>
        </w:rPr>
        <w:t>Requires a 32-byte (256-bit) base64 key configured in `process.env.ENCRYPTION_KEY`.</w:t>
      </w:r>
    </w:p>
    <w:p>
      <w:pPr>
        <w:pStyle w:val="ListBullet"/>
        <w:spacing w:before="0" w:after="80" w:line="276" w:lineRule="auto"/>
      </w:pPr>
      <w:r>
        <w:rPr>
          <w:rFonts w:ascii="Arial" w:hAnsi="Arial"/>
          <w:b/>
          <w:color w:val="0F172A"/>
        </w:rPr>
        <w:t xml:space="preserve">IV &amp; AuthTag: </w:t>
      </w:r>
      <w:r>
        <w:rPr>
          <w:rFonts w:ascii="Arial" w:hAnsi="Arial"/>
          <w:color w:val="334155"/>
        </w:rPr>
        <w:t>Generates a random 12-byte Initialization Vector (IV) per encryption operation.</w:t>
      </w:r>
    </w:p>
    <w:p>
      <w:pPr>
        <w:pStyle w:val="ListBullet"/>
        <w:spacing w:before="0" w:after="80" w:line="276" w:lineRule="auto"/>
      </w:pPr>
      <w:r>
        <w:rPr>
          <w:rFonts w:ascii="Arial" w:hAnsi="Arial"/>
          <w:b/>
          <w:color w:val="0F172A"/>
        </w:rPr>
        <w:t xml:space="preserve">Cipher Storage: </w:t>
      </w:r>
      <w:r>
        <w:rPr>
          <w:rFonts w:ascii="Arial" w:hAnsi="Arial"/>
          <w:color w:val="334155"/>
        </w:rPr>
        <w:t>Returns an object containing `encrypted`, `iv`, and `authTag` strings, guaranteeing payload confidentiality and tamper-proof authenticity.</w:t>
      </w:r>
    </w:p>
    <w:p>
      <w:pPr>
        <w:pStyle w:val="ListBullet"/>
        <w:spacing w:before="0" w:after="80" w:line="276" w:lineRule="auto"/>
      </w:pPr>
      <w:r>
        <w:rPr>
          <w:rFonts w:ascii="Arial" w:hAnsi="Arial"/>
          <w:b/>
          <w:color w:val="0F172A"/>
        </w:rPr>
        <w:t xml:space="preserve">Masking: </w:t>
      </w:r>
      <w:r>
        <w:rPr>
          <w:rFonts w:ascii="Arial" w:hAnsi="Arial"/>
          <w:color w:val="334155"/>
        </w:rPr>
        <w:t>Utility `maskSensitiveData.js` formats Aadhaar as `XXXX-XXXX-1234` and PAN as `XXXXXX1234` for API responses.</w:t>
      </w:r>
    </w:p>
    <w:p>
      <w:pPr>
        <w:keepNext/>
        <w:spacing w:before="360" w:after="160"/>
      </w:pPr>
      <w:r>
        <w:rPr>
          <w:rFonts w:ascii="Arial" w:hAnsi="Arial"/>
          <w:b/>
          <w:color w:val="0F172A"/>
          <w:sz w:val="36"/>
        </w:rPr>
        <w:t>14. API &amp; Integration Analysis</w:t>
      </w:r>
    </w:p>
    <w:p>
      <w:pPr>
        <w:spacing w:before="0" w:after="120" w:line="276" w:lineRule="auto"/>
      </w:pPr>
      <w:r>
        <w:rPr>
          <w:rFonts w:ascii="Arial" w:hAnsi="Arial"/>
          <w:i w:val="0"/>
          <w:color w:val="334155"/>
        </w:rPr>
        <w:t>External integrations are managed via backend service layers to prevent exposing API keys to the mobile client:</w:t>
      </w:r>
    </w:p>
    <w:p>
      <w:pPr>
        <w:pStyle w:val="ListBullet"/>
        <w:spacing w:before="0" w:after="80" w:line="276" w:lineRule="auto"/>
      </w:pPr>
      <w:r>
        <w:rPr>
          <w:rFonts w:ascii="Arial" w:hAnsi="Arial"/>
          <w:b/>
          <w:color w:val="0F172A"/>
        </w:rPr>
        <w:t xml:space="preserve">Sandbox.co.in Aadhaar OKYC: </w:t>
      </w:r>
      <w:r>
        <w:rPr>
          <w:rFonts w:ascii="Arial" w:hAnsi="Arial"/>
          <w:color w:val="334155"/>
        </w:rPr>
        <w:t>Invokes `https://api.sandbox.co.in/kyc/aadhaar/okyc/otp` and `/verify` using OAuth access tokens generated via `sandbox.service.js`.</w:t>
      </w:r>
    </w:p>
    <w:p>
      <w:pPr>
        <w:pStyle w:val="ListBullet"/>
        <w:spacing w:before="0" w:after="80" w:line="276" w:lineRule="auto"/>
      </w:pPr>
      <w:r>
        <w:rPr>
          <w:rFonts w:ascii="Arial" w:hAnsi="Arial"/>
          <w:b/>
          <w:color w:val="0F172A"/>
        </w:rPr>
        <w:t xml:space="preserve">Sandbox.co.in PAN Verification: </w:t>
      </w:r>
      <w:r>
        <w:rPr>
          <w:rFonts w:ascii="Arial" w:hAnsi="Arial"/>
          <w:color w:val="334155"/>
        </w:rPr>
        <w:t>Invokes `https://api.sandbox.co.in/kyc/pan/verify` to validate PAN number, name, and DOB match.</w:t>
      </w:r>
    </w:p>
    <w:p>
      <w:pPr>
        <w:pStyle w:val="ListBullet"/>
        <w:spacing w:before="0" w:after="80" w:line="276" w:lineRule="auto"/>
      </w:pPr>
      <w:r>
        <w:rPr>
          <w:rFonts w:ascii="Arial" w:hAnsi="Arial"/>
          <w:b/>
          <w:color w:val="0F172A"/>
        </w:rPr>
        <w:t xml:space="preserve">Cloudinary Storage: </w:t>
      </w:r>
      <w:r>
        <w:rPr>
          <w:rFonts w:ascii="Arial" w:hAnsi="Arial"/>
          <w:color w:val="334155"/>
        </w:rPr>
        <w:t>Multer middleware handles direct image multipart uploads to Cloudinary storage buckets (`fintech/profile` and `fintech/kyc`).</w:t>
      </w:r>
    </w:p>
    <w:p>
      <w:pPr>
        <w:keepNext/>
        <w:spacing w:before="360" w:after="160"/>
      </w:pPr>
      <w:r>
        <w:rPr>
          <w:rFonts w:ascii="Arial" w:hAnsi="Arial"/>
          <w:b/>
          <w:color w:val="0F172A"/>
          <w:sz w:val="36"/>
        </w:rPr>
        <w:t>15. UX / Product Experience Analysis</w:t>
      </w:r>
    </w:p>
    <w:p>
      <w:pPr>
        <w:spacing w:before="0" w:after="120" w:line="276" w:lineRule="auto"/>
      </w:pPr>
      <w:r>
        <w:rPr>
          <w:rFonts w:ascii="Arial" w:hAnsi="Arial"/>
          <w:i w:val="0"/>
          <w:color w:val="334155"/>
        </w:rPr>
        <w:t>The mobile frontend (`mobile/src/screens`) focuses on modern, low-friction financial user experience. Key design highlights include:</w:t>
      </w:r>
    </w:p>
    <w:p>
      <w:pPr>
        <w:pStyle w:val="ListBullet"/>
        <w:spacing w:before="0" w:after="80" w:line="276" w:lineRule="auto"/>
      </w:pPr>
      <w:r>
        <w:rPr>
          <w:rFonts w:ascii="Arial" w:hAnsi="Arial"/>
          <w:b/>
          <w:color w:val="0F172A"/>
        </w:rPr>
        <w:t xml:space="preserve">Collapsible Header Navigation: </w:t>
      </w:r>
      <w:r>
        <w:rPr>
          <w:rFonts w:ascii="Arial" w:hAnsi="Arial"/>
          <w:color w:val="334155"/>
        </w:rPr>
        <w:t>Dynamic header that collapses smoothly into a compact navbar as the user scrolls (`CollapsibleHeaderLayout.jsx`).</w:t>
      </w:r>
    </w:p>
    <w:p>
      <w:pPr>
        <w:pStyle w:val="ListBullet"/>
        <w:spacing w:before="0" w:after="80" w:line="276" w:lineRule="auto"/>
      </w:pPr>
      <w:r>
        <w:rPr>
          <w:rFonts w:ascii="Arial" w:hAnsi="Arial"/>
          <w:b/>
          <w:color w:val="0F172A"/>
        </w:rPr>
        <w:t xml:space="preserve">Bento Grid Loan Explorer: </w:t>
      </w:r>
      <w:r>
        <w:rPr>
          <w:rFonts w:ascii="Arial" w:hAnsi="Arial"/>
          <w:color w:val="334155"/>
        </w:rPr>
        <w:t>Visual multi-variant cards (`LoanCard.jsx`) organizing loan categories into an engaging bento layout.</w:t>
      </w:r>
    </w:p>
    <w:p>
      <w:pPr>
        <w:pStyle w:val="ListBullet"/>
        <w:spacing w:before="0" w:after="80" w:line="276" w:lineRule="auto"/>
      </w:pPr>
      <w:r>
        <w:rPr>
          <w:rFonts w:ascii="Arial" w:hAnsi="Arial"/>
          <w:b/>
          <w:color w:val="0F172A"/>
        </w:rPr>
        <w:t xml:space="preserve">Skeleton Loaders: </w:t>
      </w:r>
      <w:r>
        <w:rPr>
          <w:rFonts w:ascii="Arial" w:hAnsi="Arial"/>
          <w:color w:val="334155"/>
        </w:rPr>
        <w:t>Shimmer loaders feedback during network API calls (`HomeSkeleton.js`).</w:t>
      </w:r>
    </w:p>
    <w:p>
      <w:pPr>
        <w:keepNext/>
        <w:spacing w:before="360" w:after="160"/>
      </w:pPr>
      <w:r>
        <w:rPr>
          <w:rFonts w:ascii="Arial" w:hAnsi="Arial"/>
          <w:b/>
          <w:color w:val="0F172A"/>
          <w:sz w:val="36"/>
        </w:rPr>
        <w:t>16. Product-Market Analysis</w:t>
      </w:r>
    </w:p>
    <w:p>
      <w:pPr>
        <w:spacing w:before="0" w:after="120" w:line="276" w:lineRule="auto"/>
      </w:pPr>
      <w:r>
        <w:rPr>
          <w:rFonts w:ascii="Arial" w:hAnsi="Arial"/>
          <w:i w:val="0"/>
          <w:color w:val="334155"/>
        </w:rPr>
        <w:t>India's digital lending ecosystem is undergoing massive expansion, driven by UPI adoption, India Stack (Aadhaar OKYC, DigiLocker), and growing retail credit demand. FinPilot positions itself at the intersection of retail borrowers and institutional lenders, capturing commission revenue without taking credit balance sheet risk.</w:t>
      </w:r>
    </w:p>
    <w:p>
      <w:pPr>
        <w:keepNext/>
        <w:spacing w:before="360" w:after="160"/>
      </w:pPr>
      <w:r>
        <w:rPr>
          <w:rFonts w:ascii="Arial" w:hAnsi="Arial"/>
          <w:b/>
          <w:color w:val="0F172A"/>
          <w:sz w:val="36"/>
        </w:rPr>
        <w:t>17. Market Positioning</w:t>
      </w:r>
    </w:p>
    <w:p>
      <w:pPr>
        <w:spacing w:before="0" w:after="120" w:line="276" w:lineRule="auto"/>
      </w:pPr>
      <w:r>
        <w:rPr>
          <w:rFonts w:ascii="Arial" w:hAnsi="Arial"/>
          <w:i w:val="0"/>
          <w:color w:val="334155"/>
        </w:rPr>
        <w:t>FinPilot positions itself as a 'Phygital' Lead Distribution Gateway — combining the high customer trust of local DSA networks with the speed and automation of digital loan aggregators.</w:t>
      </w:r>
    </w:p>
    <w:p>
      <w:pPr>
        <w:keepNext/>
        <w:spacing w:before="360" w:after="160"/>
      </w:pPr>
      <w:r>
        <w:rPr>
          <w:rFonts w:ascii="Arial" w:hAnsi="Arial"/>
          <w:b/>
          <w:color w:val="0F172A"/>
          <w:sz w:val="36"/>
        </w:rPr>
        <w:t>18. Market Differentiation</w:t>
      </w:r>
    </w:p>
    <w:p>
      <w:pPr>
        <w:spacing w:before="0" w:after="120" w:line="276" w:lineRule="auto"/>
      </w:pPr>
      <w:r>
        <w:rPr>
          <w:rFonts w:ascii="Arial" w:hAnsi="Arial"/>
          <w:i w:val="0"/>
          <w:color w:val="334155"/>
        </w:rPr>
        <w:t>Unlike legacy aggregators that broadcast user contact details to multiple aggressive telecalling call centers, FinPilot differentiates on:</w:t>
      </w:r>
    </w:p>
    <w:p>
      <w:pPr>
        <w:pStyle w:val="ListBullet"/>
        <w:spacing w:before="0" w:after="80" w:line="276" w:lineRule="auto"/>
      </w:pPr>
      <w:r>
        <w:rPr>
          <w:rFonts w:ascii="Arial" w:hAnsi="Arial"/>
          <w:b/>
          <w:color w:val="0F172A"/>
        </w:rPr>
        <w:t xml:space="preserve">1. Privacy-First Identity Vault: </w:t>
      </w:r>
      <w:r>
        <w:rPr>
          <w:rFonts w:ascii="Arial" w:hAnsi="Arial"/>
          <w:color w:val="334155"/>
        </w:rPr>
        <w:t>Borrower PII (Aadhaar/PAN) is stored with AES-256-GCM encryption and never sold to third-party telemarketers.</w:t>
      </w:r>
    </w:p>
    <w:p>
      <w:pPr>
        <w:pStyle w:val="ListBullet"/>
        <w:spacing w:before="0" w:after="80" w:line="276" w:lineRule="auto"/>
      </w:pPr>
      <w:r>
        <w:rPr>
          <w:rFonts w:ascii="Arial" w:hAnsi="Arial"/>
          <w:b/>
          <w:color w:val="0F172A"/>
        </w:rPr>
        <w:t xml:space="preserve">2. Upfront Eligibility Scoring: </w:t>
      </w:r>
      <w:r>
        <w:rPr>
          <w:rFonts w:ascii="Arial" w:hAnsi="Arial"/>
          <w:color w:val="334155"/>
        </w:rPr>
        <w:t>Calculates transparent eligibility score before submitting applications to lenders.</w:t>
      </w:r>
    </w:p>
    <w:p>
      <w:pPr>
        <w:pStyle w:val="ListBullet"/>
        <w:spacing w:before="0" w:after="80" w:line="276" w:lineRule="auto"/>
      </w:pPr>
      <w:r>
        <w:rPr>
          <w:rFonts w:ascii="Arial" w:hAnsi="Arial"/>
          <w:b/>
          <w:color w:val="0F172A"/>
        </w:rPr>
        <w:t xml:space="preserve">3. Curated Lead Routing: </w:t>
      </w:r>
      <w:r>
        <w:rPr>
          <w:rFonts w:ascii="Arial" w:hAnsi="Arial"/>
          <w:color w:val="334155"/>
        </w:rPr>
        <w:t>Focuses on pre-verified, high-quality lead distribution rather than raw unvetted lead spamming.</w:t>
      </w:r>
    </w:p>
    <w:p>
      <w:pPr>
        <w:keepNext/>
        <w:spacing w:before="360" w:after="160"/>
      </w:pPr>
      <w:r>
        <w:rPr>
          <w:rFonts w:ascii="Arial" w:hAnsi="Arial"/>
          <w:b/>
          <w:color w:val="0F172A"/>
          <w:sz w:val="36"/>
        </w:rPr>
        <w:t>19. Competitive Positioning Framework</w:t>
      </w:r>
    </w:p>
    <w:p>
      <w:pPr>
        <w:spacing w:before="0" w:after="120" w:line="276" w:lineRule="auto"/>
      </w:pPr>
      <w:r>
        <w:rPr>
          <w:rFonts w:ascii="Arial" w:hAnsi="Arial"/>
          <w:i w:val="0"/>
          <w:color w:val="334155"/>
        </w:rPr>
        <w:t>Formal competitor validation requires external market research. However, based on architecture and product design, FinPilot is evaluated against traditional DSA networks and digital aggregators: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8"/>
              </w:rPr>
              <w:t>Dimension</w:t>
            </w:r>
          </w:p>
        </w:tc>
        <w:tc>
          <w:tcPr>
            <w:tcW w:type="dxa" w:w="2340"/>
            <w:shd w:fill="0F172A"/>
          </w:tcPr>
          <w:p>
            <w:r>
              <w:rPr>
                <w:b/>
                <w:color w:val="FFFFFF"/>
                <w:sz w:val="18"/>
              </w:rPr>
              <w:t>Traditional DSA Network</w:t>
            </w:r>
          </w:p>
        </w:tc>
        <w:tc>
          <w:tcPr>
            <w:tcW w:type="dxa" w:w="2340"/>
            <w:shd w:fill="0F172A"/>
          </w:tcPr>
          <w:p>
            <w:r>
              <w:rPr>
                <w:b/>
                <w:color w:val="FFFFFF"/>
                <w:sz w:val="18"/>
              </w:rPr>
              <w:t>Digital Aggregators (e.g. Paisabazaar)</w:t>
            </w:r>
          </w:p>
        </w:tc>
        <w:tc>
          <w:tcPr>
            <w:tcW w:type="dxa" w:w="2340"/>
            <w:shd w:fill="0F172A"/>
          </w:tcPr>
          <w:p>
            <w:r>
              <w:rPr>
                <w:b/>
                <w:color w:val="FFFFFF"/>
                <w:sz w:val="18"/>
              </w:rPr>
              <w:t>FinPilot Platform Approach</w:t>
            </w:r>
          </w:p>
        </w:tc>
      </w:tr>
      <w:tr>
        <w:tc>
          <w:tcPr>
            <w:tcW w:type="dxa" w:w="2340"/>
            <w:shd w:fill="F1F5F9"/>
          </w:tcPr>
          <w:p>
            <w:r>
              <w:rPr>
                <w:sz w:val="17"/>
              </w:rPr>
              <w:t>Onboarding</w:t>
            </w:r>
          </w:p>
        </w:tc>
        <w:tc>
          <w:tcPr>
            <w:tcW w:type="dxa" w:w="2340"/>
            <w:shd w:fill="F1F5F9"/>
          </w:tcPr>
          <w:p>
            <w:r>
              <w:rPr>
                <w:sz w:val="17"/>
              </w:rPr>
              <w:t>Manual paper forms, physical visits</w:t>
            </w:r>
          </w:p>
        </w:tc>
        <w:tc>
          <w:tcPr>
            <w:tcW w:type="dxa" w:w="2340"/>
            <w:shd w:fill="F1F5F9"/>
          </w:tcPr>
          <w:p>
            <w:r>
              <w:rPr>
                <w:sz w:val="17"/>
              </w:rPr>
              <w:t>Web forms, heavy telecalling</w:t>
            </w:r>
          </w:p>
        </w:tc>
        <w:tc>
          <w:tcPr>
            <w:tcW w:type="dxa" w:w="2340"/>
            <w:shd w:fill="F1F5F9"/>
          </w:tcPr>
          <w:p>
            <w:r>
              <w:rPr>
                <w:sz w:val="17"/>
              </w:rPr>
              <w:t>100% Mobile app, self-serve OTP &amp; KYC</w:t>
            </w:r>
          </w:p>
        </w:tc>
      </w:tr>
      <w:tr>
        <w:tc>
          <w:tcPr>
            <w:tcW w:type="dxa" w:w="2340"/>
            <w:shd w:fill="FFFFFF"/>
          </w:tcPr>
          <w:p>
            <w:r>
              <w:rPr>
                <w:sz w:val="17"/>
              </w:rPr>
              <w:t>Data Security</w:t>
            </w:r>
          </w:p>
        </w:tc>
        <w:tc>
          <w:tcPr>
            <w:tcW w:type="dxa" w:w="2340"/>
            <w:shd w:fill="FFFFFF"/>
          </w:tcPr>
          <w:p>
            <w:r>
              <w:rPr>
                <w:sz w:val="17"/>
              </w:rPr>
              <w:t>Physical paper copies, high loss risk</w:t>
            </w:r>
          </w:p>
        </w:tc>
        <w:tc>
          <w:tcPr>
            <w:tcW w:type="dxa" w:w="2340"/>
            <w:shd w:fill="FFFFFF"/>
          </w:tcPr>
          <w:p>
            <w:r>
              <w:rPr>
                <w:sz w:val="17"/>
              </w:rPr>
              <w:t>Unencrypted lead sharing</w:t>
            </w:r>
          </w:p>
        </w:tc>
        <w:tc>
          <w:tcPr>
            <w:tcW w:type="dxa" w:w="2340"/>
            <w:shd w:fill="FFFFFF"/>
          </w:tcPr>
          <w:p>
            <w:r>
              <w:rPr>
                <w:sz w:val="17"/>
              </w:rPr>
              <w:t>AES-256-GCM encrypted database vault</w:t>
            </w:r>
          </w:p>
        </w:tc>
      </w:tr>
      <w:tr>
        <w:tc>
          <w:tcPr>
            <w:tcW w:type="dxa" w:w="2340"/>
            <w:shd w:fill="F1F5F9"/>
          </w:tcPr>
          <w:p>
            <w:r>
              <w:rPr>
                <w:sz w:val="17"/>
              </w:rPr>
              <w:t>Lead Quality</w:t>
            </w:r>
          </w:p>
        </w:tc>
        <w:tc>
          <w:tcPr>
            <w:tcW w:type="dxa" w:w="2340"/>
            <w:shd w:fill="F1F5F9"/>
          </w:tcPr>
          <w:p>
            <w:r>
              <w:rPr>
                <w:sz w:val="17"/>
              </w:rPr>
              <w:t>Unscreened paper files</w:t>
            </w:r>
          </w:p>
        </w:tc>
        <w:tc>
          <w:tcPr>
            <w:tcW w:type="dxa" w:w="2340"/>
            <w:shd w:fill="F1F5F9"/>
          </w:tcPr>
          <w:p>
            <w:r>
              <w:rPr>
                <w:sz w:val="17"/>
              </w:rPr>
              <w:t>Raw unvetted phone leads</w:t>
            </w:r>
          </w:p>
        </w:tc>
        <w:tc>
          <w:tcPr>
            <w:tcW w:type="dxa" w:w="2340"/>
            <w:shd w:fill="F1F5F9"/>
          </w:tcPr>
          <w:p>
            <w:r>
              <w:rPr>
                <w:sz w:val="17"/>
              </w:rPr>
              <w:t>Pre-qualified 80-point eligibility scoring</w:t>
            </w:r>
          </w:p>
        </w:tc>
      </w:tr>
    </w:tbl>
    <w:p>
      <w:pPr>
        <w:spacing w:after="120"/>
      </w:pPr>
    </w:p>
    <w:p>
      <w:pPr>
        <w:keepNext/>
        <w:spacing w:before="360" w:after="160"/>
      </w:pPr>
      <w:r>
        <w:rPr>
          <w:rFonts w:ascii="Arial" w:hAnsi="Arial"/>
          <w:b/>
          <w:color w:val="0F172A"/>
          <w:sz w:val="36"/>
        </w:rPr>
        <w:t>20. Strengths (SWOT Analysis)</w:t>
      </w:r>
    </w:p>
    <w:p>
      <w:pPr>
        <w:pStyle w:val="ListBullet"/>
        <w:spacing w:before="0" w:after="80" w:line="276" w:lineRule="auto"/>
      </w:pPr>
      <w:r>
        <w:rPr>
          <w:rFonts w:ascii="Arial" w:hAnsi="Arial"/>
          <w:b/>
          <w:color w:val="0F172A"/>
        </w:rPr>
        <w:t xml:space="preserve">Solid Borrower Core: </w:t>
      </w:r>
      <w:r>
        <w:rPr>
          <w:rFonts w:ascii="Arial" w:hAnsi="Arial"/>
          <w:color w:val="334155"/>
        </w:rPr>
        <w:t>Fully functional phone OTP, JWT session hydration, profile CRUD, Aadhaar OKYC, PAN verification, and eligibility scoring.</w:t>
      </w:r>
    </w:p>
    <w:p>
      <w:pPr>
        <w:pStyle w:val="ListBullet"/>
        <w:spacing w:before="0" w:after="80" w:line="276" w:lineRule="auto"/>
      </w:pPr>
      <w:r>
        <w:rPr>
          <w:rFonts w:ascii="Arial" w:hAnsi="Arial"/>
          <w:b/>
          <w:color w:val="0F172A"/>
        </w:rPr>
        <w:t xml:space="preserve">Strong Encryption: </w:t>
      </w:r>
      <w:r>
        <w:rPr>
          <w:rFonts w:ascii="Arial" w:hAnsi="Arial"/>
          <w:color w:val="334155"/>
        </w:rPr>
        <w:t>AES-256-GCM encryption for Aadhaar and PAN numbers at rest.</w:t>
      </w:r>
    </w:p>
    <w:p>
      <w:pPr>
        <w:pStyle w:val="ListBullet"/>
        <w:spacing w:before="0" w:after="80" w:line="276" w:lineRule="auto"/>
      </w:pPr>
      <w:r>
        <w:rPr>
          <w:rFonts w:ascii="Arial" w:hAnsi="Arial"/>
          <w:b/>
          <w:color w:val="0F172A"/>
        </w:rPr>
        <w:t xml:space="preserve">Strict Payload Validation: </w:t>
      </w:r>
      <w:r>
        <w:rPr>
          <w:rFonts w:ascii="Arial" w:hAnsi="Arial"/>
          <w:color w:val="334155"/>
        </w:rPr>
        <w:t>Zod input schemas on all backend controllers prevent malformed API requests.</w:t>
      </w:r>
    </w:p>
    <w:p>
      <w:pPr>
        <w:keepNext/>
        <w:spacing w:before="360" w:after="160"/>
      </w:pPr>
      <w:r>
        <w:rPr>
          <w:rFonts w:ascii="Arial" w:hAnsi="Arial"/>
          <w:b/>
          <w:color w:val="0F172A"/>
          <w:sz w:val="36"/>
        </w:rPr>
        <w:t>21. Weaknesses (SWOT Analysis)</w:t>
      </w:r>
    </w:p>
    <w:p>
      <w:pPr>
        <w:pStyle w:val="ListBullet"/>
        <w:spacing w:before="0" w:after="80" w:line="276" w:lineRule="auto"/>
      </w:pPr>
      <w:r>
        <w:rPr>
          <w:rFonts w:ascii="Arial" w:hAnsi="Arial"/>
          <w:b/>
          <w:color w:val="0F172A"/>
        </w:rPr>
        <w:t xml:space="preserve">Missing Admin Portal: </w:t>
      </w:r>
      <w:r>
        <w:rPr>
          <w:rFonts w:ascii="Arial" w:hAnsi="Arial"/>
          <w:color w:val="334155"/>
        </w:rPr>
        <w:t>Web Admin Panel and operations lead queue are completely missing in code (0% built).</w:t>
      </w:r>
    </w:p>
    <w:p>
      <w:pPr>
        <w:pStyle w:val="ListBullet"/>
        <w:spacing w:before="0" w:after="80" w:line="276" w:lineRule="auto"/>
      </w:pPr>
      <w:r>
        <w:rPr>
          <w:rFonts w:ascii="Arial" w:hAnsi="Arial"/>
          <w:b/>
          <w:color w:val="0F172A"/>
        </w:rPr>
        <w:t xml:space="preserve">Static Loan Offers: </w:t>
      </w:r>
      <w:r>
        <w:rPr>
          <w:rFonts w:ascii="Arial" w:hAnsi="Arial"/>
          <w:color w:val="334155"/>
        </w:rPr>
        <w:t>Loan catalog data (`loans.js`) is hardcoded local JSON rather than database-driven.</w:t>
      </w:r>
    </w:p>
    <w:p>
      <w:pPr>
        <w:pStyle w:val="ListBullet"/>
        <w:spacing w:before="0" w:after="80" w:line="276" w:lineRule="auto"/>
      </w:pPr>
      <w:r>
        <w:rPr>
          <w:rFonts w:ascii="Arial" w:hAnsi="Arial"/>
          <w:b/>
          <w:color w:val="0F172A"/>
        </w:rPr>
        <w:t xml:space="preserve">No Application Backend: </w:t>
      </w:r>
      <w:r>
        <w:rPr>
          <w:rFonts w:ascii="Arial" w:hAnsi="Arial"/>
          <w:color w:val="334155"/>
        </w:rPr>
        <w:t>`LoanApplication` document schema and submission APIs are not yet created.</w:t>
      </w:r>
    </w:p>
    <w:p>
      <w:pPr>
        <w:keepNext/>
        <w:spacing w:before="360" w:after="160"/>
      </w:pPr>
      <w:r>
        <w:rPr>
          <w:rFonts w:ascii="Arial" w:hAnsi="Arial"/>
          <w:b/>
          <w:color w:val="0F172A"/>
          <w:sz w:val="36"/>
        </w:rPr>
        <w:t>22. Opportunities (SWOT Analysis)</w:t>
      </w:r>
    </w:p>
    <w:p>
      <w:pPr>
        <w:pStyle w:val="ListBullet"/>
        <w:spacing w:before="0" w:after="80" w:line="276" w:lineRule="auto"/>
      </w:pPr>
      <w:r>
        <w:rPr>
          <w:rFonts w:ascii="Arial" w:hAnsi="Arial"/>
          <w:b/>
          <w:color w:val="0F172A"/>
        </w:rPr>
        <w:t xml:space="preserve">Account Aggregator Framework: </w:t>
      </w:r>
      <w:r>
        <w:rPr>
          <w:rFonts w:ascii="Arial" w:hAnsi="Arial"/>
          <w:color w:val="334155"/>
        </w:rPr>
        <w:t>Integrate DigiLocker and Account Aggregator (AA) APIs for automated financial verification.</w:t>
      </w:r>
    </w:p>
    <w:p>
      <w:pPr>
        <w:pStyle w:val="ListBullet"/>
        <w:spacing w:before="0" w:after="80" w:line="276" w:lineRule="auto"/>
      </w:pPr>
      <w:r>
        <w:rPr>
          <w:rFonts w:ascii="Arial" w:hAnsi="Arial"/>
          <w:b/>
          <w:color w:val="0F172A"/>
        </w:rPr>
        <w:t xml:space="preserve">Lender API Integration: </w:t>
      </w:r>
      <w:r>
        <w:rPr>
          <w:rFonts w:ascii="Arial" w:hAnsi="Arial"/>
          <w:color w:val="334155"/>
        </w:rPr>
        <w:t>Direct API integrations with partner NBFCs for instant loan disbursal.</w:t>
      </w:r>
    </w:p>
    <w:p>
      <w:pPr>
        <w:keepNext/>
        <w:spacing w:before="360" w:after="160"/>
      </w:pPr>
      <w:r>
        <w:rPr>
          <w:rFonts w:ascii="Arial" w:hAnsi="Arial"/>
          <w:b/>
          <w:color w:val="0F172A"/>
          <w:sz w:val="36"/>
        </w:rPr>
        <w:t>23. Threats (SWOT Analysis)</w:t>
      </w:r>
    </w:p>
    <w:p>
      <w:pPr>
        <w:pStyle w:val="ListBullet"/>
        <w:spacing w:before="0" w:after="80" w:line="276" w:lineRule="auto"/>
      </w:pPr>
      <w:r>
        <w:rPr>
          <w:rFonts w:ascii="Arial" w:hAnsi="Arial"/>
          <w:b/>
          <w:color w:val="0F172A"/>
        </w:rPr>
        <w:t xml:space="preserve">Data Protection Regulations: </w:t>
      </w:r>
      <w:r>
        <w:rPr>
          <w:rFonts w:ascii="Arial" w:hAnsi="Arial"/>
          <w:color w:val="334155"/>
        </w:rPr>
        <w:t>Compliance enforcement under DPDP Act requires immediate remediation of public Cloudinary document storage.</w:t>
      </w:r>
    </w:p>
    <w:p>
      <w:pPr>
        <w:pStyle w:val="ListBullet"/>
        <w:spacing w:before="0" w:after="80" w:line="276" w:lineRule="auto"/>
      </w:pPr>
      <w:r>
        <w:rPr>
          <w:rFonts w:ascii="Arial" w:hAnsi="Arial"/>
          <w:b/>
          <w:color w:val="0F172A"/>
        </w:rPr>
        <w:t xml:space="preserve">Market Competition: </w:t>
      </w:r>
      <w:r>
        <w:rPr>
          <w:rFonts w:ascii="Arial" w:hAnsi="Arial"/>
          <w:color w:val="334155"/>
        </w:rPr>
        <w:t>Competitors offering instant pre-approved credit lines.</w:t>
      </w:r>
    </w:p>
    <w:p>
      <w:pPr>
        <w:keepNext/>
        <w:spacing w:before="360" w:after="160"/>
      </w:pPr>
      <w:r>
        <w:rPr>
          <w:rFonts w:ascii="Arial" w:hAnsi="Arial"/>
          <w:b/>
          <w:color w:val="0F172A"/>
          <w:sz w:val="36"/>
        </w:rPr>
        <w:t>24. Technical Risks</w:t>
      </w:r>
    </w:p>
    <w:p>
      <w:pPr>
        <w:pStyle w:val="ListBullet"/>
        <w:spacing w:before="0" w:after="80" w:line="276" w:lineRule="auto"/>
      </w:pPr>
      <w:r>
        <w:rPr>
          <w:rFonts w:ascii="Arial" w:hAnsi="Arial"/>
          <w:b/>
          <w:color w:val="0F172A"/>
        </w:rPr>
        <w:t xml:space="preserve">PII/OTP Logging in Console: </w:t>
      </w:r>
      <w:r>
        <w:rPr>
          <w:rFonts w:ascii="Arial" w:hAnsi="Arial"/>
          <w:color w:val="334155"/>
        </w:rPr>
        <w:t>Backend console logs print plaintext OTPs and PII (PAN/Aadhaar) (`auth.controller.js`, `pan.service.js`).</w:t>
      </w:r>
    </w:p>
    <w:p>
      <w:pPr>
        <w:pStyle w:val="ListBullet"/>
        <w:spacing w:before="0" w:after="80" w:line="276" w:lineRule="auto"/>
      </w:pPr>
      <w:r>
        <w:rPr>
          <w:rFonts w:ascii="Arial" w:hAnsi="Arial"/>
          <w:b/>
          <w:color w:val="0F172A"/>
        </w:rPr>
        <w:t xml:space="preserve">Public Cloudinary Document Access: </w:t>
      </w:r>
      <w:r>
        <w:rPr>
          <w:rFonts w:ascii="Arial" w:hAnsi="Arial"/>
          <w:color w:val="334155"/>
        </w:rPr>
        <w:t>Uploaded KYC document images in Cloudinary use public unauthenticated URLs.</w:t>
      </w:r>
    </w:p>
    <w:p>
      <w:pPr>
        <w:pStyle w:val="ListBullet"/>
        <w:spacing w:before="0" w:after="80" w:line="276" w:lineRule="auto"/>
      </w:pPr>
      <w:r>
        <w:rPr>
          <w:rFonts w:ascii="Arial" w:hAnsi="Arial"/>
          <w:b/>
          <w:color w:val="0F172A"/>
        </w:rPr>
        <w:t xml:space="preserve">Missing Token Refresh Endpoint: </w:t>
      </w:r>
      <w:r>
        <w:rPr>
          <w:rFonts w:ascii="Arial" w:hAnsi="Arial"/>
          <w:color w:val="334155"/>
        </w:rPr>
        <w:t>Lack of `/api/auth/refresh` route causes abrupt 401 logouts when 7-day access tokens expire.</w:t>
      </w:r>
    </w:p>
    <w:p>
      <w:pPr>
        <w:pStyle w:val="ListBullet"/>
        <w:spacing w:before="0" w:after="80" w:line="276" w:lineRule="auto"/>
      </w:pPr>
      <w:r>
        <w:rPr>
          <w:rFonts w:ascii="Arial" w:hAnsi="Arial"/>
          <w:b/>
          <w:color w:val="0F172A"/>
        </w:rPr>
        <w:t xml:space="preserve">Unencrypted Local Token Storage: </w:t>
      </w:r>
      <w:r>
        <w:rPr>
          <w:rFonts w:ascii="Arial" w:hAnsi="Arial"/>
          <w:color w:val="334155"/>
        </w:rPr>
        <w:t>Mobile client uses plain `AsyncStorage` instead of hardware `SecureStore`.</w:t>
      </w:r>
    </w:p>
    <w:p>
      <w:pPr>
        <w:keepNext/>
        <w:spacing w:before="360" w:after="160"/>
      </w:pPr>
      <w:r>
        <w:rPr>
          <w:rFonts w:ascii="Arial" w:hAnsi="Arial"/>
          <w:b/>
          <w:color w:val="0F172A"/>
          <w:sz w:val="36"/>
        </w:rPr>
        <w:t>25. Business Risks</w:t>
      </w:r>
    </w:p>
    <w:p>
      <w:pPr>
        <w:pStyle w:val="ListBullet"/>
        <w:spacing w:before="0" w:after="80" w:line="276" w:lineRule="auto"/>
      </w:pPr>
      <w:r>
        <w:rPr>
          <w:rFonts w:ascii="Arial" w:hAnsi="Arial"/>
          <w:b/>
          <w:color w:val="0F172A"/>
        </w:rPr>
        <w:t xml:space="preserve">Operational Bottleneck: </w:t>
      </w:r>
      <w:r>
        <w:rPr>
          <w:rFonts w:ascii="Arial" w:hAnsi="Arial"/>
          <w:color w:val="334155"/>
        </w:rPr>
        <w:t>Without the Web Admin Panel, internal operators cannot view, qualify, or forward collected customer leads.</w:t>
      </w:r>
    </w:p>
    <w:p>
      <w:pPr>
        <w:pStyle w:val="ListBullet"/>
        <w:spacing w:before="0" w:after="80" w:line="276" w:lineRule="auto"/>
      </w:pPr>
      <w:r>
        <w:rPr>
          <w:rFonts w:ascii="Arial" w:hAnsi="Arial"/>
          <w:b/>
          <w:color w:val="0F172A"/>
        </w:rPr>
        <w:t xml:space="preserve">Mock Rate Discrepancy: </w:t>
      </w:r>
      <w:r>
        <w:rPr>
          <w:rFonts w:ascii="Arial" w:hAnsi="Arial"/>
          <w:color w:val="334155"/>
        </w:rPr>
        <w:t>Showing static mock loan offers risks customer dissatisfaction if actual bank rates differ.</w:t>
      </w:r>
    </w:p>
    <w:p>
      <w:pPr>
        <w:keepNext/>
        <w:spacing w:before="360" w:after="160"/>
      </w:pPr>
      <w:r>
        <w:rPr>
          <w:rFonts w:ascii="Arial" w:hAnsi="Arial"/>
          <w:b/>
          <w:color w:val="0F172A"/>
          <w:sz w:val="36"/>
        </w:rPr>
        <w:t>26. Testing / QA Analysis</w:t>
      </w:r>
    </w:p>
    <w:p>
      <w:pPr>
        <w:spacing w:before="0" w:after="120" w:line="276" w:lineRule="auto"/>
      </w:pPr>
      <w:r>
        <w:rPr>
          <w:rFonts w:ascii="Arial" w:hAnsi="Arial"/>
          <w:i w:val="0"/>
          <w:color w:val="334155"/>
        </w:rPr>
        <w:t>The current codebase relies primarily on manual testing and ad-hoc Node.js scripts (`test_all_scenarios.js`, `test-encryption.js`). There are zero automated Jest unit tests or integration test suites present in either frontend or backend repositories.</w:t>
      </w:r>
    </w:p>
    <w:p>
      <w:pPr>
        <w:keepNext/>
        <w:spacing w:before="360" w:after="160"/>
      </w:pPr>
      <w:r>
        <w:rPr>
          <w:rFonts w:ascii="Arial" w:hAnsi="Arial"/>
          <w:b/>
          <w:color w:val="0F172A"/>
          <w:sz w:val="36"/>
        </w:rPr>
        <w:t>27. Production Readiness Assessment</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0" w:after="40"/>
            </w:pPr>
            <w:r>
              <w:rPr>
                <w:rFonts w:ascii="Arial" w:hAnsi="Arial"/>
                <w:b/>
                <w:color w:val="1D4ED8"/>
                <w:sz w:val="21"/>
              </w:rPr>
              <w:t>PRODUCTION READINESS: NOT READY</w:t>
              <w:br/>
            </w:r>
            <w:r>
              <w:rPr>
                <w:rFonts w:ascii="Arial" w:hAnsi="Arial"/>
                <w:color w:val="334155"/>
                <w:sz w:val="19"/>
              </w:rPr>
              <w:t>FinPilot is currently INELIGIBLE FOR PRODUCTION DEPLOYMENT.</w:t>
              <w:br/>
              <w:br/>
              <w:t>While the borrower mobile MVP functions effectively in local development, production launch is blocked by critical security risks (plaintext PII logging, public Cloudinary URLs, open CORS) and incomplete operational capabilities (missing Admin Panel and Loan Application backend).</w:t>
            </w:r>
          </w:p>
        </w:tc>
      </w:tr>
    </w:tbl>
    <w:p>
      <w:pPr>
        <w:spacing w:after="80"/>
      </w:pPr>
    </w:p>
    <w:p>
      <w:pPr>
        <w:keepNext/>
        <w:spacing w:before="360" w:after="160"/>
      </w:pPr>
      <w:r>
        <w:rPr>
          <w:rFonts w:ascii="Arial" w:hAnsi="Arial"/>
          <w:b/>
          <w:color w:val="0F172A"/>
          <w:sz w:val="36"/>
        </w:rPr>
        <w:t>28. Strategic Recommendations</w:t>
      </w:r>
    </w:p>
    <w:p>
      <w:pPr>
        <w:spacing w:before="0" w:after="120" w:line="276" w:lineRule="auto"/>
      </w:pPr>
      <w:r>
        <w:rPr>
          <w:rFonts w:ascii="Arial" w:hAnsi="Arial"/>
          <w:i w:val="0"/>
          <w:color w:val="334155"/>
        </w:rPr>
        <w:t>To transition FinPilot to a production-ready enterprise state, the engineering team must execute the following prioritizations:</w:t>
      </w:r>
    </w:p>
    <w:p>
      <w:pPr>
        <w:pStyle w:val="ListBullet"/>
        <w:spacing w:before="0" w:after="80" w:line="276" w:lineRule="auto"/>
      </w:pPr>
      <w:r>
        <w:rPr>
          <w:rFonts w:ascii="Arial" w:hAnsi="Arial"/>
          <w:b/>
          <w:color w:val="0F172A"/>
        </w:rPr>
        <w:t xml:space="preserve">1. Immediate Security Hardening (Priority 1): </w:t>
      </w:r>
      <w:r>
        <w:rPr>
          <w:rFonts w:ascii="Arial" w:hAnsi="Arial"/>
          <w:color w:val="334155"/>
        </w:rPr>
        <w:t>Remove plaintext console logs, configure private Cloudinary signed URLs, restrict CORS origins, add rate-limiting, and implement JWT token refresh.</w:t>
      </w:r>
    </w:p>
    <w:p>
      <w:pPr>
        <w:pStyle w:val="ListBullet"/>
        <w:spacing w:before="0" w:after="80" w:line="276" w:lineRule="auto"/>
      </w:pPr>
      <w:r>
        <w:rPr>
          <w:rFonts w:ascii="Arial" w:hAnsi="Arial"/>
          <w:b/>
          <w:color w:val="0F172A"/>
        </w:rPr>
        <w:t xml:space="preserve">2. Loan Application Backend (Priority 2): </w:t>
      </w:r>
      <w:r>
        <w:rPr>
          <w:rFonts w:ascii="Arial" w:hAnsi="Arial"/>
          <w:color w:val="334155"/>
        </w:rPr>
        <w:t>Develop `LoanApplication` model, submission controllers, and status tracking APIs.</w:t>
      </w:r>
    </w:p>
    <w:p>
      <w:pPr>
        <w:pStyle w:val="ListBullet"/>
        <w:spacing w:before="0" w:after="80" w:line="276" w:lineRule="auto"/>
      </w:pPr>
      <w:r>
        <w:rPr>
          <w:rFonts w:ascii="Arial" w:hAnsi="Arial"/>
          <w:b/>
          <w:color w:val="0F172A"/>
        </w:rPr>
        <w:t xml:space="preserve">3. Admin Web Panel (Priority 3): </w:t>
      </w:r>
      <w:r>
        <w:rPr>
          <w:rFonts w:ascii="Arial" w:hAnsi="Arial"/>
          <w:color w:val="334155"/>
        </w:rPr>
        <w:t>Build React Web Admin Panel for lead qualification and operator review.</w:t>
      </w:r>
    </w:p>
    <w:p>
      <w:pPr>
        <w:keepNext/>
        <w:spacing w:before="360" w:after="160"/>
      </w:pPr>
      <w:r>
        <w:rPr>
          <w:rFonts w:ascii="Arial" w:hAnsi="Arial"/>
          <w:b/>
          <w:color w:val="0F172A"/>
          <w:sz w:val="36"/>
        </w:rPr>
        <w:t>29. Final Assessment</w:t>
      </w:r>
    </w:p>
    <w:p>
      <w:pPr>
        <w:spacing w:before="0" w:after="120" w:line="276" w:lineRule="auto"/>
      </w:pPr>
      <w:r>
        <w:rPr>
          <w:rFonts w:ascii="Arial" w:hAnsi="Arial"/>
          <w:i w:val="0"/>
          <w:color w:val="334155"/>
        </w:rPr>
        <w:t>FinPilot demonstrates high architectural quality and strong engineering execution across its borrower-facing mobile application and core API layer. The cryptographic implementation (AES-256-GCM), Zod schema validations, and deterministic eligibility scoring provide a resilient technical foundation.</w:t>
      </w:r>
    </w:p>
    <w:p>
      <w:pPr>
        <w:spacing w:before="0" w:after="120" w:line="276" w:lineRule="auto"/>
      </w:pPr>
      <w:r>
        <w:rPr>
          <w:rFonts w:ascii="Arial" w:hAnsi="Arial"/>
          <w:i w:val="0"/>
          <w:color w:val="334155"/>
        </w:rPr>
        <w:t>By completing the upcoming security hardening phase and developing the operational Web Admin Panel, FinPilot will successfully transform into a commercial-grade, secure digital loan distribution gateway for TARS Technologies.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CONFIDENTIAL — FOR INTERNAL CORPORATE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FinPilot Platform — Project Analysis Document | TARS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