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Arial" w:hAnsi="Arial"/>
          <w:b/>
          <w:color w:val="1D4ED8"/>
          <w:sz w:val="22"/>
        </w:rPr>
        <w:t>TARS TECHNOLOGIES — CORPORATE REVIEW DOCUMENTATION</w:t>
      </w:r>
    </w:p>
    <w:p>
      <w:pPr>
        <w:spacing w:before="360" w:after="240"/>
      </w:pPr>
      <w:r>
        <w:rPr>
          <w:rFonts w:ascii="Arial" w:hAnsi="Arial"/>
          <w:b/>
          <w:color w:val="0F172A"/>
          <w:sz w:val="56"/>
        </w:rPr>
        <w:t>FinPilot Platform:</w:t>
        <w:br/>
        <w:t>Project Progress Report</w:t>
      </w:r>
    </w:p>
    <w:p>
      <w:pPr>
        <w:spacing w:after="2800"/>
      </w:pPr>
      <w:r>
        <w:rPr>
          <w:rFonts w:ascii="Arial" w:hAnsi="Arial"/>
          <w:color w:val="64748B"/>
          <w:sz w:val="26"/>
        </w:rPr>
        <w:t>Comprehensive Engineering Milestone Status, Module Matrix, Defect Audit, and Progress Assessment</w:t>
      </w:r>
    </w:p>
    <w:tbl>
      <w:tblPr>
        <w:tblW w:type="auto" w:w="0"/>
        <w:jc w:val="center"/>
        <w:tblLook w:firstColumn="1" w:firstRow="1" w:lastColumn="0" w:lastRow="0" w:noHBand="0" w:noVBand="1" w:val="04A0"/>
      </w:tblPr>
      <w:tblGrid>
        <w:gridCol w:w="4680"/>
        <w:gridCol w:w="4680"/>
      </w:tblGrid>
      <w:tr>
        <w:tc>
          <w:tcPr>
            <w:tcW w:type="dxa" w:w="3168"/>
          </w:tcPr>
          <w:p>
            <w:pPr>
              <w:spacing w:after="40"/>
            </w:pPr>
            <w:r>
              <w:rPr>
                <w:rFonts w:ascii="Arial" w:hAnsi="Arial"/>
                <w:b/>
                <w:color w:val="0F172A"/>
                <w:sz w:val="19"/>
              </w:rPr>
              <w:t>Project Name:</w:t>
            </w:r>
          </w:p>
        </w:tc>
        <w:tc>
          <w:tcPr>
            <w:tcW w:type="dxa" w:w="6192"/>
          </w:tcPr>
          <w:p>
            <w:pPr>
              <w:spacing w:after="40"/>
            </w:pPr>
            <w:r>
              <w:rPr>
                <w:rFonts w:ascii="Arial" w:hAnsi="Arial"/>
                <w:color w:val="334155"/>
                <w:sz w:val="19"/>
              </w:rPr>
              <w:t>FinPilot (Digital Loan Distribution Platform)</w:t>
            </w:r>
          </w:p>
        </w:tc>
      </w:tr>
      <w:tr>
        <w:tc>
          <w:tcPr>
            <w:tcW w:type="dxa" w:w="3168"/>
          </w:tcPr>
          <w:p>
            <w:pPr>
              <w:spacing w:after="40"/>
            </w:pPr>
            <w:r>
              <w:rPr>
                <w:rFonts w:ascii="Arial" w:hAnsi="Arial"/>
                <w:b/>
                <w:color w:val="0F172A"/>
                <w:sz w:val="19"/>
              </w:rPr>
              <w:t>Prepared For:</w:t>
            </w:r>
          </w:p>
        </w:tc>
        <w:tc>
          <w:tcPr>
            <w:tcW w:type="dxa" w:w="6192"/>
          </w:tcPr>
          <w:p>
            <w:pPr>
              <w:spacing w:after="40"/>
            </w:pPr>
            <w:r>
              <w:rPr>
                <w:rFonts w:ascii="Arial" w:hAnsi="Arial"/>
                <w:color w:val="334155"/>
                <w:sz w:val="19"/>
              </w:rPr>
              <w:t>Corporate Project Review Committee — TARS Technologies</w:t>
            </w:r>
          </w:p>
        </w:tc>
      </w:tr>
      <w:tr>
        <w:tc>
          <w:tcPr>
            <w:tcW w:type="dxa" w:w="3168"/>
          </w:tcPr>
          <w:p>
            <w:pPr>
              <w:spacing w:after="40"/>
            </w:pPr>
            <w:r>
              <w:rPr>
                <w:rFonts w:ascii="Arial" w:hAnsi="Arial"/>
                <w:b/>
                <w:color w:val="0F172A"/>
                <w:sz w:val="19"/>
              </w:rPr>
              <w:t>Author / Lead:</w:t>
            </w:r>
          </w:p>
        </w:tc>
        <w:tc>
          <w:tcPr>
            <w:tcW w:type="dxa" w:w="6192"/>
          </w:tcPr>
          <w:p>
            <w:pPr>
              <w:spacing w:after="40"/>
            </w:pPr>
            <w:r>
              <w:rPr>
                <w:rFonts w:ascii="Arial" w:hAnsi="Arial"/>
                <w:color w:val="334155"/>
                <w:sz w:val="19"/>
              </w:rPr>
              <w:t>Senior Software Architect &amp; Technical Documentation Lead</w:t>
            </w:r>
          </w:p>
        </w:tc>
      </w:tr>
      <w:tr>
        <w:tc>
          <w:tcPr>
            <w:tcW w:type="dxa" w:w="3168"/>
          </w:tcPr>
          <w:p>
            <w:pPr>
              <w:spacing w:after="40"/>
            </w:pPr>
            <w:r>
              <w:rPr>
                <w:rFonts w:ascii="Arial" w:hAnsi="Arial"/>
                <w:b/>
                <w:color w:val="0F172A"/>
                <w:sz w:val="19"/>
              </w:rPr>
              <w:t>Document Classification:</w:t>
            </w:r>
          </w:p>
        </w:tc>
        <w:tc>
          <w:tcPr>
            <w:tcW w:type="dxa" w:w="6192"/>
          </w:tcPr>
          <w:p>
            <w:pPr>
              <w:spacing w:after="40"/>
            </w:pPr>
            <w:r>
              <w:rPr>
                <w:rFonts w:ascii="Arial" w:hAnsi="Arial"/>
                <w:color w:val="334155"/>
                <w:sz w:val="19"/>
              </w:rPr>
              <w:t>Confidential — Internal Corporate Review</w:t>
            </w:r>
          </w:p>
        </w:tc>
      </w:tr>
      <w:tr>
        <w:tc>
          <w:tcPr>
            <w:tcW w:type="dxa" w:w="3168"/>
          </w:tcPr>
          <w:p>
            <w:pPr>
              <w:spacing w:after="40"/>
            </w:pPr>
            <w:r>
              <w:rPr>
                <w:rFonts w:ascii="Arial" w:hAnsi="Arial"/>
                <w:b/>
                <w:color w:val="0F172A"/>
                <w:sz w:val="19"/>
              </w:rPr>
              <w:t>Date &amp; Version:</w:t>
            </w:r>
          </w:p>
        </w:tc>
        <w:tc>
          <w:tcPr>
            <w:tcW w:type="dxa" w:w="6192"/>
          </w:tcPr>
          <w:p>
            <w:pPr>
              <w:spacing w:after="40"/>
            </w:pPr>
            <w:r>
              <w:rPr>
                <w:rFonts w:ascii="Arial" w:hAnsi="Arial"/>
                <w:color w:val="334155"/>
                <w:sz w:val="19"/>
              </w:rPr>
              <w:t>August 2026 | Version 1.0 (Master Release)</w:t>
            </w:r>
          </w:p>
        </w:tc>
      </w:tr>
    </w:tbl>
    <w:p>
      <w:r>
        <w:br w:type="page"/>
      </w:r>
    </w:p>
    <w:p>
      <w:pPr>
        <w:keepNext/>
        <w:spacing w:before="360" w:after="160"/>
      </w:pPr>
      <w:r>
        <w:rPr>
          <w:rFonts w:ascii="Arial" w:hAnsi="Arial"/>
          <w:b/>
          <w:color w:val="0F172A"/>
          <w:sz w:val="36"/>
        </w:rPr>
        <w:t>1. Executive Progress Summary</w:t>
      </w:r>
    </w:p>
    <w:p>
      <w:pPr>
        <w:spacing w:before="0" w:after="120" w:line="276" w:lineRule="auto"/>
      </w:pPr>
      <w:r>
        <w:rPr>
          <w:rFonts w:ascii="Arial" w:hAnsi="Arial"/>
          <w:i w:val="0"/>
          <w:color w:val="334155"/>
        </w:rPr>
        <w:t>This Project Progress Report presents an objective, evidence-based accounting of the current development status of FinPilot at TARS Technologies. The report evaluates completed milestones, partial implementations, pending features, security debt, and operational blockers based strictly on empirical codebase verification from the repository (`e:\Fintech`).</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D4ED8"/>
              <w:bottom w:val="none"/>
              <w:right w:val="none"/>
            </w:tcBorders>
          </w:tcPr>
          <w:p>
            <w:pPr>
              <w:spacing w:before="0" w:after="40"/>
            </w:pPr>
            <w:r>
              <w:rPr>
                <w:rFonts w:ascii="Arial" w:hAnsi="Arial"/>
                <w:b/>
                <w:color w:val="1D4ED8"/>
                <w:sz w:val="21"/>
              </w:rPr>
              <w:t>EXECUTIVE PROGRESS SNAPSHOT</w:t>
              <w:br/>
            </w:r>
            <w:r>
              <w:rPr>
                <w:rFonts w:ascii="Arial" w:hAnsi="Arial"/>
                <w:color w:val="334155"/>
                <w:sz w:val="19"/>
              </w:rPr>
              <w:t>Current Platform Completion Estimate: ~55% Overall MVP Completion</w:t>
              <w:br/>
              <w:t>(Note: Internal engineering estimate based on codebase code-to-specification ratio; not a formal corporate KPI).</w:t>
              <w:br/>
              <w:br/>
              <w:t>Current State Summary: The borrower-facing MVP foundation is substantially developed, while operational DSA workflows and lender distribution remain future work.</w:t>
            </w:r>
          </w:p>
        </w:tc>
      </w:tr>
    </w:tbl>
    <w:p>
      <w:pPr>
        <w:spacing w:after="80"/>
      </w:pPr>
    </w:p>
    <w:p>
      <w:pPr>
        <w:spacing w:before="0" w:after="120" w:line="276" w:lineRule="auto"/>
      </w:pPr>
      <w:r>
        <w:rPr>
          <w:rFonts w:ascii="Arial" w:hAnsi="Arial"/>
          <w:i w:val="0"/>
          <w:color w:val="334155"/>
        </w:rPr>
        <w:t>Key Achievement Highlights:</w:t>
      </w:r>
    </w:p>
    <w:p>
      <w:pPr>
        <w:pStyle w:val="ListBullet"/>
        <w:spacing w:before="0" w:after="80" w:line="276" w:lineRule="auto"/>
      </w:pPr>
      <w:r>
        <w:rPr>
          <w:rFonts w:ascii="Arial" w:hAnsi="Arial"/>
          <w:b/>
          <w:color w:val="0F172A"/>
        </w:rPr>
        <w:t xml:space="preserve">Authentication &amp; Session Engine: </w:t>
      </w:r>
      <w:r>
        <w:rPr>
          <w:rFonts w:ascii="Arial" w:hAnsi="Arial"/>
          <w:color w:val="334155"/>
        </w:rPr>
        <w:t>Completed robust mobile registration, 6-digit OTP generation/verification, JWT access token (`7d`) and refresh token (`30d`) issuance, Redux store persistence, and startup session hydration (`StartupScreen.jsx`).</w:t>
      </w:r>
    </w:p>
    <w:p>
      <w:pPr>
        <w:pStyle w:val="ListBullet"/>
        <w:spacing w:before="0" w:after="80" w:line="276" w:lineRule="auto"/>
      </w:pPr>
      <w:r>
        <w:rPr>
          <w:rFonts w:ascii="Arial" w:hAnsi="Arial"/>
          <w:b/>
          <w:color w:val="0F172A"/>
        </w:rPr>
        <w:t xml:space="preserve">User Profile Management: </w:t>
      </w:r>
      <w:r>
        <w:rPr>
          <w:rFonts w:ascii="Arial" w:hAnsi="Arial"/>
          <w:color w:val="334155"/>
        </w:rPr>
        <w:t>Delivered complete demographic profile forms, date/gender pickers, address management, and profile picture uploads to Cloudinary (`fintech/profile`).</w:t>
      </w:r>
    </w:p>
    <w:p>
      <w:pPr>
        <w:pStyle w:val="ListBullet"/>
        <w:spacing w:before="0" w:after="80" w:line="276" w:lineRule="auto"/>
      </w:pPr>
      <w:r>
        <w:rPr>
          <w:rFonts w:ascii="Arial" w:hAnsi="Arial"/>
          <w:b/>
          <w:color w:val="0F172A"/>
        </w:rPr>
        <w:t xml:space="preserve">Digital KYC Vault: </w:t>
      </w:r>
      <w:r>
        <w:rPr>
          <w:rFonts w:ascii="Arial" w:hAnsi="Arial"/>
          <w:color w:val="334155"/>
        </w:rPr>
        <w:t>Engineered end-to-end Aadhaar OKYC and PAN verification via Sandbox.co.in integration (with offline `USE_MOCK_KYC` toggle), AES-256-GCM encryption at rest, and masked data formatting (`XXXX-XXXX-1234`, `XXXXXX1234`).</w:t>
      </w:r>
    </w:p>
    <w:p>
      <w:pPr>
        <w:pStyle w:val="ListBullet"/>
        <w:spacing w:before="0" w:after="80" w:line="276" w:lineRule="auto"/>
      </w:pPr>
      <w:r>
        <w:rPr>
          <w:rFonts w:ascii="Arial" w:hAnsi="Arial"/>
          <w:b/>
          <w:color w:val="0F172A"/>
        </w:rPr>
        <w:t xml:space="preserve">Eligibility Scoring Engine: </w:t>
      </w:r>
      <w:r>
        <w:rPr>
          <w:rFonts w:ascii="Arial" w:hAnsi="Arial"/>
          <w:color w:val="334155"/>
        </w:rPr>
        <w:t>Implemented the 80-point deterministic financial scoring algorithm evaluating CIBIL score, monthly salary, and active loan counts, with MongoDB persistence across `FinancialProfile` and `Eligibility` collections.</w:t>
      </w:r>
    </w:p>
    <w:p>
      <w:pPr>
        <w:pStyle w:val="ListBullet"/>
        <w:spacing w:before="0" w:after="80" w:line="276" w:lineRule="auto"/>
      </w:pPr>
      <w:r>
        <w:rPr>
          <w:rFonts w:ascii="Arial" w:hAnsi="Arial"/>
          <w:b/>
          <w:color w:val="0F172A"/>
        </w:rPr>
        <w:t xml:space="preserve">Borrower Mobile UX: </w:t>
      </w:r>
      <w:r>
        <w:rPr>
          <w:rFonts w:ascii="Arial" w:hAnsi="Arial"/>
          <w:color w:val="334155"/>
        </w:rPr>
        <w:t>Developed a high-polish React Native UI featuring custom collapsible headers, animated skeleton loaders, interactive loan sliders, and a bento-grid loan explorer.</w:t>
      </w:r>
    </w:p>
    <w:p>
      <w:pPr>
        <w:keepNext/>
        <w:spacing w:before="360" w:after="160"/>
      </w:pPr>
      <w:r>
        <w:rPr>
          <w:rFonts w:ascii="Arial" w:hAnsi="Arial"/>
          <w:b/>
          <w:color w:val="0F172A"/>
          <w:sz w:val="36"/>
        </w:rPr>
        <w:t>2. Project Timeline &amp; Milestone History</w:t>
      </w:r>
    </w:p>
    <w:p>
      <w:pPr>
        <w:spacing w:before="0" w:after="120" w:line="276" w:lineRule="auto"/>
      </w:pPr>
      <w:r>
        <w:rPr>
          <w:rFonts w:ascii="Arial" w:hAnsi="Arial"/>
          <w:i w:val="0"/>
          <w:color w:val="334155"/>
        </w:rPr>
        <w:t>The development trajectory of FinPilot has progressed through three primary execution sprints:</w:t>
      </w:r>
    </w:p>
    <w:p>
      <w:pPr>
        <w:pStyle w:val="ListBullet"/>
        <w:spacing w:before="0" w:after="80" w:line="276" w:lineRule="auto"/>
      </w:pPr>
      <w:r>
        <w:rPr>
          <w:rFonts w:ascii="Arial" w:hAnsi="Arial"/>
          <w:b/>
          <w:color w:val="0F172A"/>
        </w:rPr>
        <w:t xml:space="preserve">Milestone 1 — Core Architecture &amp; Authentication: </w:t>
      </w:r>
      <w:r>
        <w:rPr>
          <w:rFonts w:ascii="Arial" w:hAnsi="Arial"/>
          <w:color w:val="334155"/>
        </w:rPr>
        <w:t>Initial repository scaffolding (`/backend` and `/mobile`), Express server configuration, MongoDB Mongoose schema design (`User`, `Otp`), and Redux store architecture.</w:t>
      </w:r>
    </w:p>
    <w:p>
      <w:pPr>
        <w:pStyle w:val="ListBullet"/>
        <w:spacing w:before="0" w:after="80" w:line="276" w:lineRule="auto"/>
      </w:pPr>
      <w:r>
        <w:rPr>
          <w:rFonts w:ascii="Arial" w:hAnsi="Arial"/>
          <w:b/>
          <w:color w:val="0F172A"/>
        </w:rPr>
        <w:t xml:space="preserve">Milestone 2 — Profile &amp; Digital KYC Vault: </w:t>
      </w:r>
      <w:r>
        <w:rPr>
          <w:rFonts w:ascii="Arial" w:hAnsi="Arial"/>
          <w:color w:val="334155"/>
        </w:rPr>
        <w:t>Development of `ProfileScreen.jsx`, `KycScreen.jsx`, `AadhaarScreen.jsx`, `PanScreen.jsx`, integration with Sandbox.co.in APIs, and implementation of `encryption.service.js` (AES-256-GCM).</w:t>
      </w:r>
    </w:p>
    <w:p>
      <w:pPr>
        <w:pStyle w:val="ListBullet"/>
        <w:spacing w:before="0" w:after="80" w:line="276" w:lineRule="auto"/>
      </w:pPr>
      <w:r>
        <w:rPr>
          <w:rFonts w:ascii="Arial" w:hAnsi="Arial"/>
          <w:b/>
          <w:color w:val="0F172A"/>
        </w:rPr>
        <w:t xml:space="preserve">Milestone 3 — Financial Profile &amp; Scoring Engine: </w:t>
      </w:r>
      <w:r>
        <w:rPr>
          <w:rFonts w:ascii="Arial" w:hAnsi="Arial"/>
          <w:color w:val="334155"/>
        </w:rPr>
        <w:t>Backend `eligibility.service.js` scoring logic, MongoDB persistence (`FinancialProfile`, `Eligibility`), mobile `EligibilityScreen.jsx` UI, and `LoanExplorerScreen.jsx` static catalog.</w:t>
      </w:r>
    </w:p>
    <w:p>
      <w:pPr>
        <w:keepNext/>
        <w:spacing w:before="360" w:after="160"/>
      </w:pPr>
      <w:r>
        <w:rPr>
          <w:rFonts w:ascii="Arial" w:hAnsi="Arial"/>
          <w:b/>
          <w:color w:val="0F172A"/>
          <w:sz w:val="36"/>
        </w:rPr>
        <w:t>3. Module-Wise Progress Assessment</w:t>
      </w:r>
    </w:p>
    <w:p>
      <w:pPr>
        <w:spacing w:before="0" w:after="120" w:line="276" w:lineRule="auto"/>
      </w:pPr>
      <w:r>
        <w:rPr>
          <w:rFonts w:ascii="Arial" w:hAnsi="Arial"/>
          <w:i w:val="0"/>
          <w:color w:val="334155"/>
        </w:rPr>
        <w:t>The following subsections provide a detailed technical audit of progress across each core functional module.</w:t>
      </w:r>
    </w:p>
    <w:p>
      <w:pPr>
        <w:keepNext/>
        <w:spacing w:before="280" w:after="120"/>
      </w:pPr>
      <w:r>
        <w:rPr>
          <w:rFonts w:ascii="Arial" w:hAnsi="Arial"/>
          <w:b/>
          <w:color w:val="1D4ED8"/>
          <w:sz w:val="28"/>
        </w:rPr>
        <w:t>3.1 Backend Architecture Progress</w:t>
      </w:r>
    </w:p>
    <w:p>
      <w:pPr>
        <w:spacing w:before="0" w:after="120" w:line="276" w:lineRule="auto"/>
      </w:pPr>
      <w:r>
        <w:rPr>
          <w:rFonts w:ascii="Arial" w:hAnsi="Arial"/>
          <w:i w:val="0"/>
          <w:color w:val="334155"/>
        </w:rPr>
        <w:t>The Node.js/Express backend (`backend/src`) is operational for borrower endpoints. Controllers for `auth`, `profile`, `kyc`, and `eligibility` are implemented with Zod payload validation schemas (`validations/`). Cryptographic helpers (`encryption.service.js`) and API integration services (`sandbox.service.js`, `aadhaar.service.js`, `pan.service.js`) are fully functional.</w:t>
      </w:r>
    </w:p>
    <w:p>
      <w:pPr>
        <w:keepNext/>
        <w:spacing w:before="280" w:after="120"/>
      </w:pPr>
      <w:r>
        <w:rPr>
          <w:rFonts w:ascii="Arial" w:hAnsi="Arial"/>
          <w:b/>
          <w:color w:val="1D4ED8"/>
          <w:sz w:val="28"/>
        </w:rPr>
        <w:t>3.2 Mobile App Architecture Progress</w:t>
      </w:r>
    </w:p>
    <w:p>
      <w:pPr>
        <w:spacing w:before="0" w:after="120" w:line="276" w:lineRule="auto"/>
      </w:pPr>
      <w:r>
        <w:rPr>
          <w:rFonts w:ascii="Arial" w:hAnsi="Arial"/>
          <w:i w:val="0"/>
          <w:color w:val="334155"/>
        </w:rPr>
        <w:t>The React Native mobile application (`mobile/src`) contains 17 active screen views. Navigation state is handled by `AppRouter.jsx` and `RootNavigator.js`. Global state is orchestrated via Redux Toolkit slices (`authSlice`, `userSlice`, `kycSlice`, `eligibilitySlice`) with `redux-persist` caching session tokens in AsyncStorage.</w:t>
      </w:r>
    </w:p>
    <w:p>
      <w:pPr>
        <w:keepNext/>
        <w:spacing w:before="280" w:after="120"/>
      </w:pPr>
      <w:r>
        <w:rPr>
          <w:rFonts w:ascii="Arial" w:hAnsi="Arial"/>
          <w:b/>
          <w:color w:val="1D4ED8"/>
          <w:sz w:val="28"/>
        </w:rPr>
        <w:t>3.3 Authentication &amp; Session Management</w:t>
      </w:r>
    </w:p>
    <w:p>
      <w:pPr>
        <w:spacing w:before="0" w:after="120" w:line="276" w:lineRule="auto"/>
      </w:pPr>
      <w:r>
        <w:rPr>
          <w:rFonts w:ascii="Arial" w:hAnsi="Arial"/>
          <w:i w:val="0"/>
          <w:color w:val="334155"/>
        </w:rPr>
        <w:t>Phone OTP generation and verification APIs are 100% functional. JWT access tokens (`7d`) and refresh tokens (`30d`) are generated upon verification. However, backend routes lack a `/api/auth/refresh` endpoint to handle seamless token renewal.</w:t>
      </w:r>
    </w:p>
    <w:p>
      <w:pPr>
        <w:keepNext/>
        <w:spacing w:before="280" w:after="120"/>
      </w:pPr>
      <w:r>
        <w:rPr>
          <w:rFonts w:ascii="Arial" w:hAnsi="Arial"/>
          <w:b/>
          <w:color w:val="1D4ED8"/>
          <w:sz w:val="28"/>
        </w:rPr>
        <w:t>3.4 User Profile Module</w:t>
      </w:r>
    </w:p>
    <w:p>
      <w:pPr>
        <w:spacing w:before="0" w:after="120" w:line="276" w:lineRule="auto"/>
      </w:pPr>
      <w:r>
        <w:rPr>
          <w:rFonts w:ascii="Arial" w:hAnsi="Arial"/>
          <w:i w:val="0"/>
          <w:color w:val="334155"/>
        </w:rPr>
        <w:t>Profile fetching (`GET /api/profile`) and profile updating (`PUT /api/profile`) are 100% complete. Multipart profile image uploads are stored in Cloudinary folder `fintech/profile`.</w:t>
      </w:r>
    </w:p>
    <w:p>
      <w:pPr>
        <w:keepNext/>
        <w:spacing w:before="280" w:after="120"/>
      </w:pPr>
      <w:r>
        <w:rPr>
          <w:rFonts w:ascii="Arial" w:hAnsi="Arial"/>
          <w:b/>
          <w:color w:val="1D4ED8"/>
          <w:sz w:val="28"/>
        </w:rPr>
        <w:t>3.5 Digital KYC Module</w:t>
      </w:r>
    </w:p>
    <w:p>
      <w:pPr>
        <w:spacing w:before="0" w:after="120" w:line="276" w:lineRule="auto"/>
      </w:pPr>
      <w:r>
        <w:rPr>
          <w:rFonts w:ascii="Arial" w:hAnsi="Arial"/>
          <w:i w:val="0"/>
          <w:color w:val="334155"/>
        </w:rPr>
        <w:t>Aadhaar OKYC (OTP send/verify) and PAN verification are 100% functional via Sandbox.co.in or mock mode (`USE_MOCK_KYC=true`). Raw Aadhaar/PAN numbers are encrypted with AES-256-GCM. Cloudinary storage handles image uploads (`fintech/kyc`).</w:t>
      </w:r>
    </w:p>
    <w:p>
      <w:pPr>
        <w:keepNext/>
        <w:spacing w:before="280" w:after="120"/>
      </w:pPr>
      <w:r>
        <w:rPr>
          <w:rFonts w:ascii="Arial" w:hAnsi="Arial"/>
          <w:b/>
          <w:color w:val="1D4ED8"/>
          <w:sz w:val="28"/>
        </w:rPr>
        <w:t>3.6 Financial Profile &amp; Eligibility Scoring</w:t>
      </w:r>
    </w:p>
    <w:p>
      <w:pPr>
        <w:spacing w:before="0" w:after="120" w:line="276" w:lineRule="auto"/>
      </w:pPr>
      <w:r>
        <w:rPr>
          <w:rFonts w:ascii="Arial" w:hAnsi="Arial"/>
          <w:i w:val="0"/>
          <w:color w:val="334155"/>
        </w:rPr>
        <w:t>The 80-point scoring algorithm is 100% implemented in `eligibility.service.js`. Inputs (salary, company, employment type, active loans, EMI, CIBIL) are saved to `FinancialProfile`, scored, and saved to `Eligibility` collection. Results are displayed via modal in `EligibilityScreen.jsx`.</w:t>
      </w:r>
    </w:p>
    <w:p>
      <w:pPr>
        <w:keepNext/>
        <w:spacing w:before="280" w:after="120"/>
      </w:pPr>
      <w:r>
        <w:rPr>
          <w:rFonts w:ascii="Arial" w:hAnsi="Arial"/>
          <w:b/>
          <w:color w:val="1D4ED8"/>
          <w:sz w:val="28"/>
        </w:rPr>
        <w:t>3.7 Loan Explorer &amp; Product Catalog</w:t>
      </w:r>
    </w:p>
    <w:p>
      <w:pPr>
        <w:spacing w:before="0" w:after="120" w:line="276" w:lineRule="auto"/>
      </w:pPr>
      <w:r>
        <w:rPr>
          <w:rFonts w:ascii="Arial" w:hAnsi="Arial"/>
          <w:i w:val="0"/>
          <w:color w:val="334155"/>
        </w:rPr>
        <w:t>The loan catalog UI is 100% functional, showcasing 6 loan categories (Personal, Home, Business, Education, Vehicle, Gold) with loan amount sliders (`LoanAmountSelector.jsx`). However, catalog data is static local JSON (`loans.js`) rather than database-driven.</w:t>
      </w:r>
    </w:p>
    <w:p>
      <w:pPr>
        <w:keepNext/>
        <w:spacing w:before="280" w:after="120"/>
      </w:pPr>
      <w:r>
        <w:rPr>
          <w:rFonts w:ascii="Arial" w:hAnsi="Arial"/>
          <w:b/>
          <w:color w:val="1D4ED8"/>
          <w:sz w:val="28"/>
        </w:rPr>
        <w:t>3.8 Security &amp; Hardening Progress</w:t>
      </w:r>
    </w:p>
    <w:p>
      <w:pPr>
        <w:spacing w:before="0" w:after="120" w:line="276" w:lineRule="auto"/>
      </w:pPr>
      <w:r>
        <w:rPr>
          <w:rFonts w:ascii="Arial" w:hAnsi="Arial"/>
          <w:i w:val="0"/>
          <w:color w:val="334155"/>
        </w:rPr>
        <w:t>AES-256-GCM encryption and masked identifiers are implemented. However, production security hardening is incomplete due to console PII logging, public Cloudinary URLs, open CORS, missing rate limiting, and unencrypted token storage.</w:t>
      </w:r>
    </w:p>
    <w:p>
      <w:pPr>
        <w:keepNext/>
        <w:spacing w:before="280" w:after="120"/>
      </w:pPr>
      <w:r>
        <w:rPr>
          <w:rFonts w:ascii="Arial" w:hAnsi="Arial"/>
          <w:b/>
          <w:color w:val="1D4ED8"/>
          <w:sz w:val="28"/>
        </w:rPr>
        <w:t>3.9 Testing &amp; Quality Assurance Progress</w:t>
      </w:r>
    </w:p>
    <w:p>
      <w:pPr>
        <w:spacing w:before="0" w:after="120" w:line="276" w:lineRule="auto"/>
      </w:pPr>
      <w:r>
        <w:rPr>
          <w:rFonts w:ascii="Arial" w:hAnsi="Arial"/>
          <w:i w:val="0"/>
          <w:color w:val="334155"/>
        </w:rPr>
        <w:t>Testing is currently limited to ad-hoc Node.js scripts (`test_all_scenarios.js`, `test-encryption.js`). Automated Jest unit tests and integration suites are 0% implemented.</w:t>
      </w:r>
    </w:p>
    <w:p>
      <w:pPr>
        <w:keepNext/>
        <w:spacing w:before="280" w:after="120"/>
      </w:pPr>
      <w:r>
        <w:rPr>
          <w:rFonts w:ascii="Arial" w:hAnsi="Arial"/>
          <w:b/>
          <w:color w:val="1D4ED8"/>
          <w:sz w:val="28"/>
        </w:rPr>
        <w:t>3.10 Technical Documentation Progress</w:t>
      </w:r>
    </w:p>
    <w:p>
      <w:pPr>
        <w:spacing w:before="0" w:after="120" w:line="276" w:lineRule="auto"/>
      </w:pPr>
      <w:r>
        <w:rPr>
          <w:rFonts w:ascii="Arial" w:hAnsi="Arial"/>
          <w:i w:val="0"/>
          <w:color w:val="334155"/>
        </w:rPr>
        <w:t>Architectural documentation (`docs/01-product.md` through `07-api.md`) is 100% complete.</w:t>
      </w:r>
    </w:p>
    <w:p>
      <w:pPr>
        <w:keepNext/>
        <w:spacing w:before="360" w:after="160"/>
      </w:pPr>
      <w:r>
        <w:rPr>
          <w:rFonts w:ascii="Arial" w:hAnsi="Arial"/>
          <w:b/>
          <w:color w:val="0F172A"/>
          <w:sz w:val="36"/>
        </w:rPr>
        <w:t>4. Implemented vs. Pending Module Matrix</w:t>
      </w:r>
    </w:p>
    <w:p>
      <w:pPr>
        <w:spacing w:before="0" w:after="120" w:line="276" w:lineRule="auto"/>
      </w:pPr>
      <w:r>
        <w:rPr>
          <w:rFonts w:ascii="Arial" w:hAnsi="Arial"/>
          <w:i w:val="0"/>
          <w:color w:val="334155"/>
        </w:rPr>
        <w:t>The matrix below outlines the completion status, empirical evidence, and remaining work for every system module: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100" w:type="dxa"/>
              <w:bottom w:w="100" w:type="dxa"/>
              <w:left w:w="100" w:type="dxa"/>
              <w:right w:w="100" w:type="dxa"/>
            </w:tcMar>
          </w:tcPr>
          <w:p>
            <w:r>
              <w:rPr>
                <w:b/>
                <w:color w:val="FFFFFF"/>
                <w:sz w:val="18"/>
              </w:rPr>
              <w:t>Module Name</w:t>
            </w:r>
          </w:p>
        </w:tc>
        <w:tc>
          <w:tcPr>
            <w:tcW w:type="dxa" w:w="1872"/>
            <w:shd w:fill="0F172A"/>
            <w:tcMar>
              <w:top w:w="100" w:type="dxa"/>
              <w:bottom w:w="100" w:type="dxa"/>
              <w:left w:w="100" w:type="dxa"/>
              <w:right w:w="100" w:type="dxa"/>
            </w:tcMar>
          </w:tcPr>
          <w:p>
            <w:r>
              <w:rPr>
                <w:b/>
                <w:color w:val="FFFFFF"/>
                <w:sz w:val="18"/>
              </w:rPr>
              <w:t>Status</w:t>
            </w:r>
          </w:p>
        </w:tc>
        <w:tc>
          <w:tcPr>
            <w:tcW w:type="dxa" w:w="1872"/>
            <w:shd w:fill="0F172A"/>
            <w:tcMar>
              <w:top w:w="100" w:type="dxa"/>
              <w:bottom w:w="100" w:type="dxa"/>
              <w:left w:w="100" w:type="dxa"/>
              <w:right w:w="100" w:type="dxa"/>
            </w:tcMar>
          </w:tcPr>
          <w:p>
            <w:r>
              <w:rPr>
                <w:b/>
                <w:color w:val="FFFFFF"/>
                <w:sz w:val="18"/>
              </w:rPr>
              <w:t>Est. Completion</w:t>
            </w:r>
          </w:p>
        </w:tc>
        <w:tc>
          <w:tcPr>
            <w:tcW w:type="dxa" w:w="1872"/>
            <w:shd w:fill="0F172A"/>
            <w:tcMar>
              <w:top w:w="100" w:type="dxa"/>
              <w:bottom w:w="100" w:type="dxa"/>
              <w:left w:w="100" w:type="dxa"/>
              <w:right w:w="100" w:type="dxa"/>
            </w:tcMar>
          </w:tcPr>
          <w:p>
            <w:r>
              <w:rPr>
                <w:b/>
                <w:color w:val="FFFFFF"/>
                <w:sz w:val="18"/>
              </w:rPr>
              <w:t>Codebase Evidence</w:t>
            </w:r>
          </w:p>
        </w:tc>
        <w:tc>
          <w:tcPr>
            <w:tcW w:type="dxa" w:w="1872"/>
            <w:shd w:fill="0F172A"/>
            <w:tcMar>
              <w:top w:w="100" w:type="dxa"/>
              <w:bottom w:w="100" w:type="dxa"/>
              <w:left w:w="100" w:type="dxa"/>
              <w:right w:w="100" w:type="dxa"/>
            </w:tcMar>
          </w:tcPr>
          <w:p>
            <w:r>
              <w:rPr>
                <w:b/>
                <w:color w:val="FFFFFF"/>
                <w:sz w:val="18"/>
              </w:rPr>
              <w:t>Remaining Work</w:t>
            </w:r>
          </w:p>
        </w:tc>
      </w:tr>
      <w:tr>
        <w:tc>
          <w:tcPr>
            <w:tcW w:type="dxa" w:w="1872"/>
            <w:shd w:fill="F1F5F9"/>
            <w:tcMar>
              <w:top w:w="80" w:type="dxa"/>
              <w:bottom w:w="80" w:type="dxa"/>
              <w:left w:w="80" w:type="dxa"/>
              <w:right w:w="80" w:type="dxa"/>
            </w:tcMar>
          </w:tcPr>
          <w:p>
            <w:r>
              <w:rPr>
                <w:sz w:val="17"/>
              </w:rPr>
              <w:t>Authentication &amp; Session</w:t>
            </w:r>
          </w:p>
        </w:tc>
        <w:tc>
          <w:tcPr>
            <w:tcW w:type="dxa" w:w="1872"/>
            <w:shd w:fill="F1F5F9"/>
            <w:tcMar>
              <w:top w:w="80" w:type="dxa"/>
              <w:bottom w:w="80" w:type="dxa"/>
              <w:left w:w="80" w:type="dxa"/>
              <w:right w:w="80" w:type="dxa"/>
            </w:tcMar>
          </w:tcPr>
          <w:p>
            <w:r>
              <w:rPr>
                <w:b/>
                <w:color w:val="16A34A"/>
                <w:sz w:val="17"/>
              </w:rPr>
              <w:t>COMPLETED*</w:t>
            </w:r>
          </w:p>
        </w:tc>
        <w:tc>
          <w:tcPr>
            <w:tcW w:type="dxa" w:w="1872"/>
            <w:shd w:fill="F1F5F9"/>
            <w:tcMar>
              <w:top w:w="80" w:type="dxa"/>
              <w:bottom w:w="80" w:type="dxa"/>
              <w:left w:w="80" w:type="dxa"/>
              <w:right w:w="80" w:type="dxa"/>
            </w:tcMar>
          </w:tcPr>
          <w:p>
            <w:r>
              <w:rPr>
                <w:sz w:val="17"/>
              </w:rPr>
              <w:t>85%</w:t>
            </w:r>
          </w:p>
        </w:tc>
        <w:tc>
          <w:tcPr>
            <w:tcW w:type="dxa" w:w="1872"/>
            <w:shd w:fill="F1F5F9"/>
            <w:tcMar>
              <w:top w:w="80" w:type="dxa"/>
              <w:bottom w:w="80" w:type="dxa"/>
              <w:left w:w="80" w:type="dxa"/>
              <w:right w:w="80" w:type="dxa"/>
            </w:tcMar>
          </w:tcPr>
          <w:p>
            <w:r>
              <w:rPr>
                <w:sz w:val="17"/>
              </w:rPr>
              <w:t>auth.controller.js, jwt.service.js, AuthNavigator.jsx</w:t>
            </w:r>
          </w:p>
        </w:tc>
        <w:tc>
          <w:tcPr>
            <w:tcW w:type="dxa" w:w="1872"/>
            <w:shd w:fill="F1F5F9"/>
            <w:tcMar>
              <w:top w:w="80" w:type="dxa"/>
              <w:bottom w:w="80" w:type="dxa"/>
              <w:left w:w="80" w:type="dxa"/>
              <w:right w:w="80" w:type="dxa"/>
            </w:tcMar>
          </w:tcPr>
          <w:p>
            <w:r>
              <w:rPr>
                <w:sz w:val="17"/>
              </w:rPr>
              <w:t>Implement /api/auth/refresh endpoint, add rate limiting.</w:t>
            </w:r>
          </w:p>
        </w:tc>
      </w:tr>
      <w:tr>
        <w:tc>
          <w:tcPr>
            <w:tcW w:type="dxa" w:w="1872"/>
            <w:shd w:fill="FFFFFF"/>
            <w:tcMar>
              <w:top w:w="80" w:type="dxa"/>
              <w:bottom w:w="80" w:type="dxa"/>
              <w:left w:w="80" w:type="dxa"/>
              <w:right w:w="80" w:type="dxa"/>
            </w:tcMar>
          </w:tcPr>
          <w:p>
            <w:r>
              <w:rPr>
                <w:sz w:val="17"/>
              </w:rPr>
              <w:t>User Profile Vault</w:t>
            </w:r>
          </w:p>
        </w:tc>
        <w:tc>
          <w:tcPr>
            <w:tcW w:type="dxa" w:w="1872"/>
            <w:shd w:fill="FFFFFF"/>
            <w:tcMar>
              <w:top w:w="80" w:type="dxa"/>
              <w:bottom w:w="80" w:type="dxa"/>
              <w:left w:w="80" w:type="dxa"/>
              <w:right w:w="80" w:type="dxa"/>
            </w:tcMar>
          </w:tcPr>
          <w:p>
            <w:r>
              <w:rPr>
                <w:b/>
                <w:color w:val="16A34A"/>
                <w:sz w:val="17"/>
              </w:rPr>
              <w:t>COMPLETED</w:t>
            </w:r>
          </w:p>
        </w:tc>
        <w:tc>
          <w:tcPr>
            <w:tcW w:type="dxa" w:w="1872"/>
            <w:shd w:fill="FFFFFF"/>
            <w:tcMar>
              <w:top w:w="80" w:type="dxa"/>
              <w:bottom w:w="80" w:type="dxa"/>
              <w:left w:w="80" w:type="dxa"/>
              <w:right w:w="80" w:type="dxa"/>
            </w:tcMar>
          </w:tcPr>
          <w:p>
            <w:r>
              <w:rPr>
                <w:sz w:val="17"/>
              </w:rPr>
              <w:t>90%</w:t>
            </w:r>
          </w:p>
        </w:tc>
        <w:tc>
          <w:tcPr>
            <w:tcW w:type="dxa" w:w="1872"/>
            <w:shd w:fill="FFFFFF"/>
            <w:tcMar>
              <w:top w:w="80" w:type="dxa"/>
              <w:bottom w:w="80" w:type="dxa"/>
              <w:left w:w="80" w:type="dxa"/>
              <w:right w:w="80" w:type="dxa"/>
            </w:tcMar>
          </w:tcPr>
          <w:p>
            <w:r>
              <w:rPr>
                <w:sz w:val="17"/>
              </w:rPr>
              <w:t>profile.controller.js, User.js model, ProfileScreen.jsx</w:t>
            </w:r>
          </w:p>
        </w:tc>
        <w:tc>
          <w:tcPr>
            <w:tcW w:type="dxa" w:w="1872"/>
            <w:shd w:fill="FFFFFF"/>
            <w:tcMar>
              <w:top w:w="80" w:type="dxa"/>
              <w:bottom w:w="80" w:type="dxa"/>
              <w:left w:w="80" w:type="dxa"/>
              <w:right w:w="80" w:type="dxa"/>
            </w:tcMar>
          </w:tcPr>
          <w:p>
            <w:r>
              <w:rPr>
                <w:sz w:val="17"/>
              </w:rPr>
              <w:t>Address pincode verification API.</w:t>
            </w:r>
          </w:p>
        </w:tc>
      </w:tr>
      <w:tr>
        <w:tc>
          <w:tcPr>
            <w:tcW w:type="dxa" w:w="1872"/>
            <w:shd w:fill="F1F5F9"/>
            <w:tcMar>
              <w:top w:w="80" w:type="dxa"/>
              <w:bottom w:w="80" w:type="dxa"/>
              <w:left w:w="80" w:type="dxa"/>
              <w:right w:w="80" w:type="dxa"/>
            </w:tcMar>
          </w:tcPr>
          <w:p>
            <w:r>
              <w:rPr>
                <w:sz w:val="17"/>
              </w:rPr>
              <w:t>Digital KYC Vault</w:t>
            </w:r>
          </w:p>
        </w:tc>
        <w:tc>
          <w:tcPr>
            <w:tcW w:type="dxa" w:w="1872"/>
            <w:shd w:fill="F1F5F9"/>
            <w:tcMar>
              <w:top w:w="80" w:type="dxa"/>
              <w:bottom w:w="80" w:type="dxa"/>
              <w:left w:w="80" w:type="dxa"/>
              <w:right w:w="80" w:type="dxa"/>
            </w:tcMar>
          </w:tcPr>
          <w:p>
            <w:r>
              <w:rPr>
                <w:b/>
                <w:color w:val="16A34A"/>
                <w:sz w:val="17"/>
              </w:rPr>
              <w:t>COMPLETED*</w:t>
            </w:r>
          </w:p>
        </w:tc>
        <w:tc>
          <w:tcPr>
            <w:tcW w:type="dxa" w:w="1872"/>
            <w:shd w:fill="F1F5F9"/>
            <w:tcMar>
              <w:top w:w="80" w:type="dxa"/>
              <w:bottom w:w="80" w:type="dxa"/>
              <w:left w:w="80" w:type="dxa"/>
              <w:right w:w="80" w:type="dxa"/>
            </w:tcMar>
          </w:tcPr>
          <w:p>
            <w:r>
              <w:rPr>
                <w:sz w:val="17"/>
              </w:rPr>
              <w:t>85%</w:t>
            </w:r>
          </w:p>
        </w:tc>
        <w:tc>
          <w:tcPr>
            <w:tcW w:type="dxa" w:w="1872"/>
            <w:shd w:fill="F1F5F9"/>
            <w:tcMar>
              <w:top w:w="80" w:type="dxa"/>
              <w:bottom w:w="80" w:type="dxa"/>
              <w:left w:w="80" w:type="dxa"/>
              <w:right w:w="80" w:type="dxa"/>
            </w:tcMar>
          </w:tcPr>
          <w:p>
            <w:r>
              <w:rPr>
                <w:sz w:val="17"/>
              </w:rPr>
              <w:t>kyc.controller.js, encryption.service.js, AadhaarScreen.jsx</w:t>
            </w:r>
          </w:p>
        </w:tc>
        <w:tc>
          <w:tcPr>
            <w:tcW w:type="dxa" w:w="1872"/>
            <w:shd w:fill="F1F5F9"/>
            <w:tcMar>
              <w:top w:w="80" w:type="dxa"/>
              <w:bottom w:w="80" w:type="dxa"/>
              <w:left w:w="80" w:type="dxa"/>
              <w:right w:w="80" w:type="dxa"/>
            </w:tcMar>
          </w:tcPr>
          <w:p>
            <w:r>
              <w:rPr>
                <w:sz w:val="17"/>
              </w:rPr>
              <w:t>Secure Cloudinary signed URLs, DigiLocker integration.</w:t>
            </w:r>
          </w:p>
        </w:tc>
      </w:tr>
      <w:tr>
        <w:tc>
          <w:tcPr>
            <w:tcW w:type="dxa" w:w="1872"/>
            <w:shd w:fill="FFFFFF"/>
            <w:tcMar>
              <w:top w:w="80" w:type="dxa"/>
              <w:bottom w:w="80" w:type="dxa"/>
              <w:left w:w="80" w:type="dxa"/>
              <w:right w:w="80" w:type="dxa"/>
            </w:tcMar>
          </w:tcPr>
          <w:p>
            <w:r>
              <w:rPr>
                <w:sz w:val="17"/>
              </w:rPr>
              <w:t>Eligibility Engine</w:t>
            </w:r>
          </w:p>
        </w:tc>
        <w:tc>
          <w:tcPr>
            <w:tcW w:type="dxa" w:w="1872"/>
            <w:shd w:fill="FFFFFF"/>
            <w:tcMar>
              <w:top w:w="80" w:type="dxa"/>
              <w:bottom w:w="80" w:type="dxa"/>
              <w:left w:w="80" w:type="dxa"/>
              <w:right w:w="80" w:type="dxa"/>
            </w:tcMar>
          </w:tcPr>
          <w:p>
            <w:r>
              <w:rPr>
                <w:b/>
                <w:color w:val="16A34A"/>
                <w:sz w:val="17"/>
              </w:rPr>
              <w:t>COMPLETED</w:t>
            </w:r>
          </w:p>
        </w:tc>
        <w:tc>
          <w:tcPr>
            <w:tcW w:type="dxa" w:w="1872"/>
            <w:shd w:fill="FFFFFF"/>
            <w:tcMar>
              <w:top w:w="80" w:type="dxa"/>
              <w:bottom w:w="80" w:type="dxa"/>
              <w:left w:w="80" w:type="dxa"/>
              <w:right w:w="80" w:type="dxa"/>
            </w:tcMar>
          </w:tcPr>
          <w:p>
            <w:r>
              <w:rPr>
                <w:sz w:val="17"/>
              </w:rPr>
              <w:t>90%</w:t>
            </w:r>
          </w:p>
        </w:tc>
        <w:tc>
          <w:tcPr>
            <w:tcW w:type="dxa" w:w="1872"/>
            <w:shd w:fill="FFFFFF"/>
            <w:tcMar>
              <w:top w:w="80" w:type="dxa"/>
              <w:bottom w:w="80" w:type="dxa"/>
              <w:left w:w="80" w:type="dxa"/>
              <w:right w:w="80" w:type="dxa"/>
            </w:tcMar>
          </w:tcPr>
          <w:p>
            <w:r>
              <w:rPr>
                <w:sz w:val="17"/>
              </w:rPr>
              <w:t>eligibility.service.js, FinancialProfile model, EligibilityScreen.jsx</w:t>
            </w:r>
          </w:p>
        </w:tc>
        <w:tc>
          <w:tcPr>
            <w:tcW w:type="dxa" w:w="1872"/>
            <w:shd w:fill="FFFFFF"/>
            <w:tcMar>
              <w:top w:w="80" w:type="dxa"/>
              <w:bottom w:w="80" w:type="dxa"/>
              <w:left w:w="80" w:type="dxa"/>
              <w:right w:w="80" w:type="dxa"/>
            </w:tcMar>
          </w:tcPr>
          <w:p>
            <w:r>
              <w:rPr>
                <w:sz w:val="17"/>
              </w:rPr>
              <w:t>Real-time bureau credit score pull API.</w:t>
            </w:r>
          </w:p>
        </w:tc>
      </w:tr>
      <w:tr>
        <w:tc>
          <w:tcPr>
            <w:tcW w:type="dxa" w:w="1872"/>
            <w:shd w:fill="F1F5F9"/>
            <w:tcMar>
              <w:top w:w="80" w:type="dxa"/>
              <w:bottom w:w="80" w:type="dxa"/>
              <w:left w:w="80" w:type="dxa"/>
              <w:right w:w="80" w:type="dxa"/>
            </w:tcMar>
          </w:tcPr>
          <w:p>
            <w:r>
              <w:rPr>
                <w:sz w:val="17"/>
              </w:rPr>
              <w:t>Loan Catalog UI</w:t>
            </w:r>
          </w:p>
        </w:tc>
        <w:tc>
          <w:tcPr>
            <w:tcW w:type="dxa" w:w="1872"/>
            <w:shd w:fill="F1F5F9"/>
            <w:tcMar>
              <w:top w:w="80" w:type="dxa"/>
              <w:bottom w:w="80" w:type="dxa"/>
              <w:left w:w="80" w:type="dxa"/>
              <w:right w:w="80" w:type="dxa"/>
            </w:tcMar>
          </w:tcPr>
          <w:p>
            <w:r>
              <w:rPr>
                <w:b/>
                <w:color w:val="1D4ED8"/>
                <w:sz w:val="17"/>
              </w:rPr>
              <w:t>IN PROGRESS</w:t>
            </w:r>
          </w:p>
        </w:tc>
        <w:tc>
          <w:tcPr>
            <w:tcW w:type="dxa" w:w="1872"/>
            <w:shd w:fill="F1F5F9"/>
            <w:tcMar>
              <w:top w:w="80" w:type="dxa"/>
              <w:bottom w:w="80" w:type="dxa"/>
              <w:left w:w="80" w:type="dxa"/>
              <w:right w:w="80" w:type="dxa"/>
            </w:tcMar>
          </w:tcPr>
          <w:p>
            <w:r>
              <w:rPr>
                <w:sz w:val="17"/>
              </w:rPr>
              <w:t>60%</w:t>
            </w:r>
          </w:p>
        </w:tc>
        <w:tc>
          <w:tcPr>
            <w:tcW w:type="dxa" w:w="1872"/>
            <w:shd w:fill="F1F5F9"/>
            <w:tcMar>
              <w:top w:w="80" w:type="dxa"/>
              <w:bottom w:w="80" w:type="dxa"/>
              <w:left w:w="80" w:type="dxa"/>
              <w:right w:w="80" w:type="dxa"/>
            </w:tcMar>
          </w:tcPr>
          <w:p>
            <w:r>
              <w:rPr>
                <w:sz w:val="17"/>
              </w:rPr>
              <w:t>loans.js, LoanExplorerScreen.jsx, LoanOffersScreen.jsx</w:t>
            </w:r>
          </w:p>
        </w:tc>
        <w:tc>
          <w:tcPr>
            <w:tcW w:type="dxa" w:w="1872"/>
            <w:shd w:fill="F1F5F9"/>
            <w:tcMar>
              <w:top w:w="80" w:type="dxa"/>
              <w:bottom w:w="80" w:type="dxa"/>
              <w:left w:w="80" w:type="dxa"/>
              <w:right w:w="80" w:type="dxa"/>
            </w:tcMar>
          </w:tcPr>
          <w:p>
            <w:r>
              <w:rPr>
                <w:sz w:val="17"/>
              </w:rPr>
              <w:t>Migrate static loans.js to MongoDB collection &amp; dynamic API.</w:t>
            </w:r>
          </w:p>
        </w:tc>
      </w:tr>
      <w:tr>
        <w:tc>
          <w:tcPr>
            <w:tcW w:type="dxa" w:w="1872"/>
            <w:shd w:fill="FFFFFF"/>
            <w:tcMar>
              <w:top w:w="80" w:type="dxa"/>
              <w:bottom w:w="80" w:type="dxa"/>
              <w:left w:w="80" w:type="dxa"/>
              <w:right w:w="80" w:type="dxa"/>
            </w:tcMar>
          </w:tcPr>
          <w:p>
            <w:r>
              <w:rPr>
                <w:sz w:val="17"/>
              </w:rPr>
              <w:t>Loan Application Engine</w:t>
            </w:r>
          </w:p>
        </w:tc>
        <w:tc>
          <w:tcPr>
            <w:tcW w:type="dxa" w:w="1872"/>
            <w:shd w:fill="FFFFFF"/>
            <w:tcMar>
              <w:top w:w="80" w:type="dxa"/>
              <w:bottom w:w="80" w:type="dxa"/>
              <w:left w:w="80" w:type="dxa"/>
              <w:right w:w="80" w:type="dxa"/>
            </w:tcMar>
          </w:tcPr>
          <w:p>
            <w:r>
              <w:rPr>
                <w:b/>
                <w:color w:val="DC2626"/>
                <w:sz w:val="17"/>
              </w:rPr>
              <w:t>NOT STARTED</w:t>
            </w:r>
          </w:p>
        </w:tc>
        <w:tc>
          <w:tcPr>
            <w:tcW w:type="dxa" w:w="1872"/>
            <w:shd w:fill="FFFFFF"/>
            <w:tcMar>
              <w:top w:w="80" w:type="dxa"/>
              <w:bottom w:w="80" w:type="dxa"/>
              <w:left w:w="80" w:type="dxa"/>
              <w:right w:w="80" w:type="dxa"/>
            </w:tcMar>
          </w:tcPr>
          <w:p>
            <w:r>
              <w:rPr>
                <w:sz w:val="17"/>
              </w:rPr>
              <w:t>0%</w:t>
            </w:r>
          </w:p>
        </w:tc>
        <w:tc>
          <w:tcPr>
            <w:tcW w:type="dxa" w:w="1872"/>
            <w:shd w:fill="FFFFFF"/>
            <w:tcMar>
              <w:top w:w="80" w:type="dxa"/>
              <w:bottom w:w="80" w:type="dxa"/>
              <w:left w:w="80" w:type="dxa"/>
              <w:right w:w="80" w:type="dxa"/>
            </w:tcMar>
          </w:tcPr>
          <w:p>
            <w:r>
              <w:rPr>
                <w:sz w:val="17"/>
              </w:rPr>
              <w:t>Docs specify LoanApplication model (absent in code)</w:t>
            </w:r>
          </w:p>
        </w:tc>
        <w:tc>
          <w:tcPr>
            <w:tcW w:type="dxa" w:w="1872"/>
            <w:shd w:fill="FFFFFF"/>
            <w:tcMar>
              <w:top w:w="80" w:type="dxa"/>
              <w:bottom w:w="80" w:type="dxa"/>
              <w:left w:w="80" w:type="dxa"/>
              <w:right w:w="80" w:type="dxa"/>
            </w:tcMar>
          </w:tcPr>
          <w:p>
            <w:r>
              <w:rPr>
                <w:sz w:val="17"/>
              </w:rPr>
              <w:t>Create LoanApplication schema, submission API, status lifecycle.</w:t>
            </w:r>
          </w:p>
        </w:tc>
      </w:tr>
      <w:tr>
        <w:tc>
          <w:tcPr>
            <w:tcW w:type="dxa" w:w="1872"/>
            <w:shd w:fill="F1F5F9"/>
            <w:tcMar>
              <w:top w:w="80" w:type="dxa"/>
              <w:bottom w:w="80" w:type="dxa"/>
              <w:left w:w="80" w:type="dxa"/>
              <w:right w:w="80" w:type="dxa"/>
            </w:tcMar>
          </w:tcPr>
          <w:p>
            <w:r>
              <w:rPr>
                <w:sz w:val="17"/>
              </w:rPr>
              <w:t>Admin Web Portal</w:t>
            </w:r>
          </w:p>
        </w:tc>
        <w:tc>
          <w:tcPr>
            <w:tcW w:type="dxa" w:w="1872"/>
            <w:shd w:fill="F1F5F9"/>
            <w:tcMar>
              <w:top w:w="80" w:type="dxa"/>
              <w:bottom w:w="80" w:type="dxa"/>
              <w:left w:w="80" w:type="dxa"/>
              <w:right w:w="80" w:type="dxa"/>
            </w:tcMar>
          </w:tcPr>
          <w:p>
            <w:r>
              <w:rPr>
                <w:b/>
                <w:color w:val="DC2626"/>
                <w:sz w:val="17"/>
              </w:rPr>
              <w:t>NOT STARTED</w:t>
            </w:r>
          </w:p>
        </w:tc>
        <w:tc>
          <w:tcPr>
            <w:tcW w:type="dxa" w:w="1872"/>
            <w:shd w:fill="F1F5F9"/>
            <w:tcMar>
              <w:top w:w="80" w:type="dxa"/>
              <w:bottom w:w="80" w:type="dxa"/>
              <w:left w:w="80" w:type="dxa"/>
              <w:right w:w="80" w:type="dxa"/>
            </w:tcMar>
          </w:tcPr>
          <w:p>
            <w:r>
              <w:rPr>
                <w:sz w:val="17"/>
              </w:rPr>
              <w:t>0%</w:t>
            </w:r>
          </w:p>
        </w:tc>
        <w:tc>
          <w:tcPr>
            <w:tcW w:type="dxa" w:w="1872"/>
            <w:shd w:fill="F1F5F9"/>
            <w:tcMar>
              <w:top w:w="80" w:type="dxa"/>
              <w:bottom w:w="80" w:type="dxa"/>
              <w:left w:w="80" w:type="dxa"/>
              <w:right w:w="80" w:type="dxa"/>
            </w:tcMar>
          </w:tcPr>
          <w:p>
            <w:r>
              <w:rPr>
                <w:sz w:val="17"/>
              </w:rPr>
              <w:t>Docs specify admin panel (absent in code)</w:t>
            </w:r>
          </w:p>
        </w:tc>
        <w:tc>
          <w:tcPr>
            <w:tcW w:type="dxa" w:w="1872"/>
            <w:shd w:fill="F1F5F9"/>
            <w:tcMar>
              <w:top w:w="80" w:type="dxa"/>
              <w:bottom w:w="80" w:type="dxa"/>
              <w:left w:w="80" w:type="dxa"/>
              <w:right w:w="80" w:type="dxa"/>
            </w:tcMar>
          </w:tcPr>
          <w:p>
            <w:r>
              <w:rPr>
                <w:sz w:val="17"/>
              </w:rPr>
              <w:t>Develop Express admin routes and React web admin portal.</w:t>
            </w:r>
          </w:p>
        </w:tc>
      </w:tr>
      <w:tr>
        <w:tc>
          <w:tcPr>
            <w:tcW w:type="dxa" w:w="1872"/>
            <w:shd w:fill="FFFFFF"/>
            <w:tcMar>
              <w:top w:w="80" w:type="dxa"/>
              <w:bottom w:w="80" w:type="dxa"/>
              <w:left w:w="80" w:type="dxa"/>
              <w:right w:w="80" w:type="dxa"/>
            </w:tcMar>
          </w:tcPr>
          <w:p>
            <w:r>
              <w:rPr>
                <w:sz w:val="17"/>
              </w:rPr>
              <w:t>Security Hardening</w:t>
            </w:r>
          </w:p>
        </w:tc>
        <w:tc>
          <w:tcPr>
            <w:tcW w:type="dxa" w:w="1872"/>
            <w:shd w:fill="FFFFFF"/>
            <w:tcMar>
              <w:top w:w="80" w:type="dxa"/>
              <w:bottom w:w="80" w:type="dxa"/>
              <w:left w:w="80" w:type="dxa"/>
              <w:right w:w="80" w:type="dxa"/>
            </w:tcMar>
          </w:tcPr>
          <w:p>
            <w:r>
              <w:rPr>
                <w:b/>
                <w:color w:val="1D4ED8"/>
                <w:sz w:val="17"/>
              </w:rPr>
              <w:t>IN PROGRESS</w:t>
            </w:r>
          </w:p>
        </w:tc>
        <w:tc>
          <w:tcPr>
            <w:tcW w:type="dxa" w:w="1872"/>
            <w:shd w:fill="FFFFFF"/>
            <w:tcMar>
              <w:top w:w="80" w:type="dxa"/>
              <w:bottom w:w="80" w:type="dxa"/>
              <w:left w:w="80" w:type="dxa"/>
              <w:right w:w="80" w:type="dxa"/>
            </w:tcMar>
          </w:tcPr>
          <w:p>
            <w:r>
              <w:rPr>
                <w:sz w:val="17"/>
              </w:rPr>
              <w:t>40%</w:t>
            </w:r>
          </w:p>
        </w:tc>
        <w:tc>
          <w:tcPr>
            <w:tcW w:type="dxa" w:w="1872"/>
            <w:shd w:fill="FFFFFF"/>
            <w:tcMar>
              <w:top w:w="80" w:type="dxa"/>
              <w:bottom w:w="80" w:type="dxa"/>
              <w:left w:w="80" w:type="dxa"/>
              <w:right w:w="80" w:type="dxa"/>
            </w:tcMar>
          </w:tcPr>
          <w:p>
            <w:r>
              <w:rPr>
                <w:sz w:val="17"/>
              </w:rPr>
              <w:t>encryption.service.js, maskSensitiveData.js implemented</w:t>
            </w:r>
          </w:p>
        </w:tc>
        <w:tc>
          <w:tcPr>
            <w:tcW w:type="dxa" w:w="1872"/>
            <w:shd w:fill="FFFFFF"/>
            <w:tcMar>
              <w:top w:w="80" w:type="dxa"/>
              <w:bottom w:w="80" w:type="dxa"/>
              <w:left w:w="80" w:type="dxa"/>
              <w:right w:w="80" w:type="dxa"/>
            </w:tcMar>
          </w:tcPr>
          <w:p>
            <w:r>
              <w:rPr>
                <w:sz w:val="17"/>
              </w:rPr>
              <w:t>Remove console PII logs, restrict CORS, hardware SecureStore.</w:t>
            </w:r>
          </w:p>
        </w:tc>
      </w:tr>
    </w:tbl>
    <w:p>
      <w:pPr>
        <w:spacing w:after="120"/>
      </w:pPr>
    </w:p>
    <w:p>
      <w:pPr>
        <w:keepNext/>
        <w:spacing w:before="360" w:after="160"/>
      </w:pPr>
      <w:r>
        <w:rPr>
          <w:rFonts w:ascii="Arial" w:hAnsi="Arial"/>
          <w:b/>
          <w:color w:val="0F172A"/>
          <w:sz w:val="36"/>
        </w:rPr>
        <w:t>5. Known Technical Issues &amp; Blockers</w:t>
      </w:r>
    </w:p>
    <w:p>
      <w:pPr>
        <w:spacing w:before="0" w:after="120" w:line="276" w:lineRule="auto"/>
      </w:pPr>
      <w:r>
        <w:rPr>
          <w:rFonts w:ascii="Arial" w:hAnsi="Arial"/>
          <w:i w:val="0"/>
          <w:color w:val="334155"/>
        </w:rPr>
        <w:t>An audit of code execution highlights four technical issues and operational blockers that must be resolved prior to commercial staging:</w:t>
      </w:r>
    </w:p>
    <w:p>
      <w:pPr>
        <w:keepNext/>
        <w:spacing w:before="280" w:after="120"/>
      </w:pPr>
      <w:r>
        <w:rPr>
          <w:rFonts w:ascii="Arial" w:hAnsi="Arial"/>
          <w:b/>
          <w:color w:val="1D4ED8"/>
          <w:sz w:val="28"/>
        </w:rPr>
        <w:t>5.1 Technical Security Issues</w:t>
      </w:r>
    </w:p>
    <w:p>
      <w:pPr>
        <w:pStyle w:val="ListBullet"/>
        <w:spacing w:before="0" w:after="80" w:line="276" w:lineRule="auto"/>
      </w:pPr>
      <w:r>
        <w:rPr>
          <w:rFonts w:ascii="Arial" w:hAnsi="Arial"/>
          <w:b/>
          <w:color w:val="0F172A"/>
        </w:rPr>
        <w:t xml:space="preserve">1. PII Console Leakage: </w:t>
      </w:r>
      <w:r>
        <w:rPr>
          <w:rFonts w:ascii="Arial" w:hAnsi="Arial"/>
          <w:color w:val="334155"/>
        </w:rPr>
        <w:t>Plaintext OTPs and sensitive PII (PAN, Aadhaar, DOB) are printed in server console logs (`auth.controller.js:43`, `pan.service.js:7`).</w:t>
      </w:r>
    </w:p>
    <w:p>
      <w:pPr>
        <w:pStyle w:val="ListBullet"/>
        <w:spacing w:before="0" w:after="80" w:line="276" w:lineRule="auto"/>
      </w:pPr>
      <w:r>
        <w:rPr>
          <w:rFonts w:ascii="Arial" w:hAnsi="Arial"/>
          <w:b/>
          <w:color w:val="0F172A"/>
        </w:rPr>
        <w:t xml:space="preserve">2. Public Cloudinary Access: </w:t>
      </w:r>
      <w:r>
        <w:rPr>
          <w:rFonts w:ascii="Arial" w:hAnsi="Arial"/>
          <w:color w:val="334155"/>
        </w:rPr>
        <w:t>Uploaded Aadhaar/PAN images are stored in public Cloudinary buckets without signed access tokens.</w:t>
      </w:r>
    </w:p>
    <w:p>
      <w:pPr>
        <w:pStyle w:val="ListBullet"/>
        <w:spacing w:before="0" w:after="80" w:line="276" w:lineRule="auto"/>
      </w:pPr>
      <w:r>
        <w:rPr>
          <w:rFonts w:ascii="Arial" w:hAnsi="Arial"/>
          <w:b/>
          <w:color w:val="0F172A"/>
        </w:rPr>
        <w:t xml:space="preserve">3. Hardcoded Local IP Config: </w:t>
      </w:r>
      <w:r>
        <w:rPr>
          <w:rFonts w:ascii="Arial" w:hAnsi="Arial"/>
          <w:color w:val="334155"/>
        </w:rPr>
        <w:t>Mobile client hardcodes developer local IP address (`http://192.168.1.4:5000/api`) in `mobile/src/services/api.js`.</w:t>
      </w:r>
    </w:p>
    <w:p>
      <w:pPr>
        <w:pStyle w:val="ListBullet"/>
        <w:spacing w:before="0" w:after="80" w:line="276" w:lineRule="auto"/>
      </w:pPr>
      <w:r>
        <w:rPr>
          <w:rFonts w:ascii="Arial" w:hAnsi="Arial"/>
          <w:b/>
          <w:color w:val="0F172A"/>
        </w:rPr>
        <w:t xml:space="preserve">4. Unencrypted Mobile Storage: </w:t>
      </w:r>
      <w:r>
        <w:rPr>
          <w:rFonts w:ascii="Arial" w:hAnsi="Arial"/>
          <w:color w:val="334155"/>
        </w:rPr>
        <w:t>Mobile client stores session tokens in plain `AsyncStorage` instead of hardware `SecureStore`.</w:t>
      </w:r>
    </w:p>
    <w:p>
      <w:pPr>
        <w:keepNext/>
        <w:spacing w:before="280" w:after="120"/>
      </w:pPr>
      <w:r>
        <w:rPr>
          <w:rFonts w:ascii="Arial" w:hAnsi="Arial"/>
          <w:b/>
          <w:color w:val="1D4ED8"/>
          <w:sz w:val="28"/>
        </w:rPr>
        <w:t>5.2 Operational Blockers</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DC2626"/>
              <w:bottom w:val="none"/>
              <w:right w:val="none"/>
            </w:tcBorders>
          </w:tcPr>
          <w:p>
            <w:pPr>
              <w:spacing w:before="0" w:after="40"/>
            </w:pPr>
            <w:r>
              <w:rPr>
                <w:rFonts w:ascii="Arial" w:hAnsi="Arial"/>
                <w:b/>
                <w:color w:val="1D4ED8"/>
                <w:sz w:val="21"/>
              </w:rPr>
              <w:t>PRIMARY OPERATIONAL BLOCKERS</w:t>
              <w:br/>
            </w:r>
            <w:r>
              <w:rPr>
                <w:rFonts w:ascii="Arial" w:hAnsi="Arial"/>
                <w:color w:val="334155"/>
                <w:sz w:val="19"/>
              </w:rPr>
              <w:t>BLOCKER 1: Absence of Web Admin Panel — TARS internal operators currently have no web dashboard to view, qualify, or forward customer leads stored in MongoDB.</w:t>
              <w:br/>
              <w:br/>
              <w:t>BLOCKER 2: Absence of Loan Application Backend — Customers cannot submit formal loan applications because the `LoanApplication` schema and backend submission API do not exist.</w:t>
            </w:r>
          </w:p>
        </w:tc>
      </w:tr>
    </w:tbl>
    <w:p>
      <w:pPr>
        <w:spacing w:after="80"/>
      </w:pPr>
    </w:p>
    <w:p>
      <w:pPr>
        <w:keepNext/>
        <w:spacing w:before="360" w:after="160"/>
      </w:pPr>
      <w:r>
        <w:rPr>
          <w:rFonts w:ascii="Arial" w:hAnsi="Arial"/>
          <w:b/>
          <w:color w:val="0F172A"/>
          <w:sz w:val="36"/>
        </w:rPr>
        <w:t>6. Overall Progress Assessment</w:t>
      </w:r>
    </w:p>
    <w:p>
      <w:pPr>
        <w:spacing w:before="0" w:after="120" w:line="276" w:lineRule="auto"/>
      </w:pPr>
      <w:r>
        <w:rPr>
          <w:rFonts w:ascii="Arial" w:hAnsi="Arial"/>
          <w:i w:val="0"/>
          <w:color w:val="334155"/>
        </w:rPr>
        <w:t>The overall engineering progress of the FinPilot platform is summarized below:</w:t>
      </w:r>
    </w:p>
    <w:p>
      <w:pPr>
        <w:pStyle w:val="ListBullet"/>
        <w:spacing w:before="0" w:after="80" w:line="276" w:lineRule="auto"/>
      </w:pPr>
      <w:r>
        <w:rPr>
          <w:rFonts w:ascii="Arial" w:hAnsi="Arial"/>
          <w:b/>
          <w:color w:val="0F172A"/>
        </w:rPr>
        <w:t xml:space="preserve">Borrower Mobile App (B2C MVP): </w:t>
      </w:r>
      <w:r>
        <w:rPr>
          <w:rFonts w:ascii="Arial" w:hAnsi="Arial"/>
          <w:color w:val="334155"/>
        </w:rPr>
        <w:t>Focuses on registration, profile, digital KYC, eligibility scoring, and loan discovery. Functional completion: ~85%.</w:t>
      </w:r>
    </w:p>
    <w:p>
      <w:pPr>
        <w:pStyle w:val="ListBullet"/>
        <w:spacing w:before="0" w:after="80" w:line="276" w:lineRule="auto"/>
      </w:pPr>
      <w:r>
        <w:rPr>
          <w:rFonts w:ascii="Arial" w:hAnsi="Arial"/>
          <w:b/>
          <w:color w:val="0F172A"/>
        </w:rPr>
        <w:t xml:space="preserve">Backend Core REST API: </w:t>
      </w:r>
      <w:r>
        <w:rPr>
          <w:rFonts w:ascii="Arial" w:hAnsi="Arial"/>
          <w:color w:val="334155"/>
        </w:rPr>
        <w:t>Supports auth, profile, KYC, and eligibility endpoints. Functional completion: ~70%.</w:t>
      </w:r>
    </w:p>
    <w:p>
      <w:pPr>
        <w:pStyle w:val="ListBullet"/>
        <w:spacing w:before="0" w:after="80" w:line="276" w:lineRule="auto"/>
      </w:pPr>
      <w:r>
        <w:rPr>
          <w:rFonts w:ascii="Arial" w:hAnsi="Arial"/>
          <w:b/>
          <w:color w:val="0F172A"/>
        </w:rPr>
        <w:t xml:space="preserve">Admin Operations &amp; DSA Distribution: </w:t>
      </w:r>
      <w:r>
        <w:rPr>
          <w:rFonts w:ascii="Arial" w:hAnsi="Arial"/>
          <w:color w:val="334155"/>
        </w:rPr>
        <w:t>Admin panel, lead queue, manual verification, and lender routing. Functional completion: 0%.</w:t>
      </w:r>
    </w:p>
    <w:p>
      <w:pPr>
        <w:spacing w:before="0" w:after="120" w:line="276" w:lineRule="auto"/>
      </w:pPr>
      <w:r>
        <w:rPr>
          <w:rFonts w:ascii="Arial" w:hAnsi="Arial"/>
          <w:i w:val="0"/>
          <w:color w:val="334155"/>
        </w:rPr>
        <w:t>Combining all functional layers, the overall project completion is estimated at ~55% of the total target MVP vision.</w:t>
      </w:r>
    </w:p>
    <w:p>
      <w:pPr>
        <w:keepNext/>
        <w:spacing w:before="360" w:after="160"/>
      </w:pPr>
      <w:r>
        <w:rPr>
          <w:rFonts w:ascii="Arial" w:hAnsi="Arial"/>
          <w:b/>
          <w:color w:val="0F172A"/>
          <w:sz w:val="36"/>
        </w:rPr>
        <w:t>7. Next Immediate Milestones</w:t>
      </w:r>
    </w:p>
    <w:p>
      <w:pPr>
        <w:spacing w:before="0" w:after="120" w:line="276" w:lineRule="auto"/>
      </w:pPr>
      <w:r>
        <w:rPr>
          <w:rFonts w:ascii="Arial" w:hAnsi="Arial"/>
          <w:i w:val="0"/>
          <w:color w:val="334155"/>
        </w:rPr>
        <w:t>The engineering team will focus on three immediate execution targets:</w:t>
      </w:r>
    </w:p>
    <w:p>
      <w:pPr>
        <w:pStyle w:val="ListBullet"/>
        <w:spacing w:before="0" w:after="80" w:line="276" w:lineRule="auto"/>
      </w:pPr>
      <w:r>
        <w:rPr>
          <w:rFonts w:ascii="Arial" w:hAnsi="Arial"/>
          <w:b/>
          <w:color w:val="0F172A"/>
        </w:rPr>
        <w:t xml:space="preserve">Milestone 4 — Security Hardening (Weeks 1 - 3): </w:t>
      </w:r>
      <w:r>
        <w:rPr>
          <w:rFonts w:ascii="Arial" w:hAnsi="Arial"/>
          <w:color w:val="334155"/>
        </w:rPr>
        <w:t>Purge console logs, secure Cloudinary signed URLs, restrict CORS, add rate limiting, and implement `/api/auth/refresh` endpoint.</w:t>
      </w:r>
    </w:p>
    <w:p>
      <w:pPr>
        <w:pStyle w:val="ListBullet"/>
        <w:spacing w:before="0" w:after="80" w:line="276" w:lineRule="auto"/>
      </w:pPr>
      <w:r>
        <w:rPr>
          <w:rFonts w:ascii="Arial" w:hAnsi="Arial"/>
          <w:b/>
          <w:color w:val="0F172A"/>
        </w:rPr>
        <w:t xml:space="preserve">Milestone 5 — Application Submission Engine (Weeks 4 - 6): </w:t>
      </w:r>
      <w:r>
        <w:rPr>
          <w:rFonts w:ascii="Arial" w:hAnsi="Arial"/>
          <w:color w:val="334155"/>
        </w:rPr>
        <w:t>Create `LoanApplication` model, submission controllers, status lifecycle, and tracking APIs.</w:t>
      </w:r>
    </w:p>
    <w:p>
      <w:pPr>
        <w:pStyle w:val="ListBullet"/>
        <w:spacing w:before="0" w:after="80" w:line="276" w:lineRule="auto"/>
      </w:pPr>
      <w:r>
        <w:rPr>
          <w:rFonts w:ascii="Arial" w:hAnsi="Arial"/>
          <w:b/>
          <w:color w:val="0F172A"/>
        </w:rPr>
        <w:t xml:space="preserve">Milestone 6 — Web Admin Operations Portal (Weeks 7 - 10): </w:t>
      </w:r>
      <w:r>
        <w:rPr>
          <w:rFonts w:ascii="Arial" w:hAnsi="Arial"/>
          <w:color w:val="334155"/>
        </w:rPr>
        <w:t>Develop Express admin controllers and React web admin portal for operational lead management.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CONFIDENTIAL — FOR INTERNAL CORPORATE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FinPilot Platform — Project Progress Report | TARS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