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0B2545"/>
          <w:sz w:val="48"/>
        </w:rPr>
        <w:t>AUDITORIA PROFUNDA DO PDC</w:t>
      </w:r>
    </w:p>
    <w:p>
      <w:pPr>
        <w:spacing w:after="320"/>
      </w:pPr>
      <w:r>
        <w:rPr>
          <w:rFonts w:ascii="Calibri" w:hAnsi="Calibri"/>
          <w:color w:val="5B6573"/>
          <w:sz w:val="28"/>
        </w:rPr>
        <w:t>Fase 1 — Produto, UX, fluxos autenticados e prontidão de produção</w:t>
      </w:r>
    </w:p>
    <w:p>
      <w:pPr>
        <w:spacing w:after="60"/>
      </w:pPr>
      <w:r>
        <w:rPr>
          <w:rFonts w:ascii="Calibri" w:hAnsi="Calibri"/>
          <w:b/>
          <w:color w:val="0B2545"/>
          <w:sz w:val="21"/>
        </w:rPr>
        <w:t xml:space="preserve">Para: </w:t>
      </w:r>
      <w:r>
        <w:rPr>
          <w:rFonts w:ascii="Calibri" w:hAnsi="Calibri"/>
          <w:color w:val="000000"/>
          <w:sz w:val="21"/>
        </w:rPr>
        <w:t>Equipa de produto, engenharia e operações do PDC</w:t>
      </w:r>
    </w:p>
    <w:p>
      <w:pPr>
        <w:spacing w:after="60"/>
      </w:pPr>
      <w:r>
        <w:rPr>
          <w:rFonts w:ascii="Calibri" w:hAnsi="Calibri"/>
          <w:b/>
          <w:color w:val="0B2545"/>
          <w:sz w:val="21"/>
        </w:rPr>
        <w:t xml:space="preserve">Data: </w:t>
      </w:r>
      <w:r>
        <w:rPr>
          <w:rFonts w:ascii="Calibri" w:hAnsi="Calibri"/>
          <w:color w:val="000000"/>
          <w:sz w:val="21"/>
        </w:rPr>
        <w:t>30 de Julho de 2026</w:t>
      </w:r>
    </w:p>
    <w:p>
      <w:pPr>
        <w:spacing w:after="60"/>
      </w:pPr>
      <w:r>
        <w:rPr>
          <w:rFonts w:ascii="Calibri" w:hAnsi="Calibri"/>
          <w:b/>
          <w:color w:val="0B2545"/>
          <w:sz w:val="21"/>
        </w:rPr>
        <w:t xml:space="preserve">Âmbito: </w:t>
      </w:r>
      <w:r>
        <w:rPr>
          <w:rFonts w:ascii="Calibri" w:hAnsi="Calibri"/>
          <w:color w:val="000000"/>
          <w:sz w:val="21"/>
        </w:rPr>
        <w:t>Instituição/mentor criador, revisão/publicação, aluno, PWA e operações</w:t>
      </w:r>
    </w:p>
    <w:p>
      <w:pPr>
        <w:spacing w:after="60"/>
      </w:pPr>
      <w:r>
        <w:rPr>
          <w:rFonts w:ascii="Calibri" w:hAnsi="Calibri"/>
          <w:b/>
          <w:color w:val="0B2545"/>
          <w:sz w:val="21"/>
        </w:rPr>
        <w:t xml:space="preserve">Referências: </w:t>
      </w:r>
      <w:r>
        <w:rPr>
          <w:rFonts w:ascii="Calibri" w:hAnsi="Calibri"/>
          <w:color w:val="000000"/>
          <w:sz w:val="21"/>
        </w:rPr>
        <w:t>Springpod e Tutor LMS — documentação oficial</w:t>
      </w:r>
    </w:p>
    <w:p>
      <w:pPr>
        <w:spacing w:after="60"/>
      </w:pPr>
      <w:r>
        <w:rPr>
          <w:rFonts w:ascii="Calibri" w:hAnsi="Calibri"/>
          <w:b/>
          <w:color w:val="0B2545"/>
          <w:sz w:val="21"/>
        </w:rPr>
        <w:t xml:space="preserve">Decisão: </w:t>
      </w:r>
      <w:r>
        <w:rPr>
          <w:rFonts w:ascii="Calibri" w:hAnsi="Calibri"/>
          <w:color w:val="000000"/>
          <w:sz w:val="21"/>
        </w:rPr>
        <w:t>NO-GO para onboarding externo até fechar os bloqueadores P0</w:t>
      </w:r>
    </w:p>
    <w:p>
      <w:pPr>
        <w:spacing w:before="120" w:after="200" w:line="264" w:lineRule="auto"/>
        <w:ind w:left="173" w:right="86"/>
        <w:shd w:fill="FCE8E6"/>
        <w:pBdr>
          <w:left w:val="single" w:sz="18" w:space="8" w:color="9B1C1C"/>
        </w:pBdr>
      </w:pPr>
      <w:r>
        <w:rPr>
          <w:rFonts w:ascii="Calibri" w:hAnsi="Calibri"/>
          <w:b/>
          <w:color w:val="9B1C1C"/>
          <w:sz w:val="20"/>
        </w:rPr>
        <w:t xml:space="preserve">DECISÃO EXECUTIVA  </w:t>
      </w:r>
      <w:r>
        <w:rPr>
          <w:rFonts w:ascii="Calibri" w:hAnsi="Calibri"/>
          <w:color w:val="000000"/>
          <w:sz w:val="21"/>
        </w:rPr>
        <w:t>O PDC ainda não está pronto para receber instituições e mentores externos. O risco principal não é estético: o ciclo criar → rever → publicar → consumir não preserva identidade, acesso, avaliação nem confiança dos dados.</w:t>
      </w:r>
    </w:p>
    <w:p>
      <w:pPr>
        <w:pStyle w:val="Heading2"/>
        <w:keepNext/>
        <w:pageBreakBefore w:val="0"/>
      </w:pPr>
      <w:r>
        <w:t>Leitura rápida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300"/>
        <w:gridCol w:w="4560"/>
        <w:gridCol w:w="19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Severidade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Achados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Implicação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Gate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P0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14</w:t>
            </w:r>
          </w:p>
        </w:tc>
        <w:tc>
          <w:tcPr>
            <w:tcW w:type="dxa" w:w="45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Bloqueia produção ou confiança</w:t>
            </w:r>
          </w:p>
        </w:tc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Fechar todos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P1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11</w:t>
            </w:r>
          </w:p>
        </w:tc>
        <w:tc>
          <w:tcPr>
            <w:tcW w:type="dxa" w:w="45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Impossibilita escala segura</w:t>
            </w:r>
          </w:p>
        </w:tc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Plano comprometido</w:t>
            </w:r>
          </w:p>
        </w:tc>
      </w:tr>
      <w:tr>
        <w:tc>
          <w:tcPr>
            <w:tcW w:type="dxa" w:w="16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P2</w:t>
            </w:r>
          </w:p>
        </w:tc>
        <w:tc>
          <w:tcPr>
            <w:tcW w:type="dxa" w:w="13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  <w:tc>
          <w:tcPr>
            <w:tcW w:type="dxa" w:w="45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Qualidade e consistência</w:t>
            </w:r>
          </w:p>
        </w:tc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Backlog antes do piloto amplo</w:t>
            </w:r>
          </w:p>
        </w:tc>
      </w:tr>
    </w:tbl>
    <w:p>
      <w:pPr>
        <w:spacing w:after="0"/>
      </w:pPr>
    </w:p>
    <w:p>
      <w:r>
        <w:rPr>
          <w:rFonts w:ascii="Calibri" w:hAnsi="Calibri"/>
          <w:i/>
          <w:color w:val="5B6573"/>
        </w:rPr>
        <w:t>Este relatório cobre uma auditoria funcional autenticada. Não substitui auditoria de código, teste de penetração, revisão jurídica, teste de carga ou validação offline em dispositivos reais.</w:t>
      </w:r>
    </w:p>
    <w:p>
      <w:r>
        <w:br w:type="page"/>
      </w:r>
    </w:p>
    <w:p>
      <w:pPr>
        <w:pStyle w:val="Heading1"/>
        <w:keepNext/>
        <w:pageBreakBefore/>
      </w:pPr>
      <w:r>
        <w:t>1. Conclusão executiva</w:t>
      </w:r>
    </w:p>
    <w:p>
      <w:r>
        <w:rPr>
          <w:rFonts w:ascii="Calibri" w:hAnsi="Calibri"/>
          <w:i w:val="0"/>
          <w:color w:val="000000"/>
        </w:rPr>
        <w:t>O PDC já apresenta a intenção correcta — experiências, cursos, simulações, programas e consumo orientado a progresso — mas as peças centrais funcionam como superfícies visuais, não como um sistema de criação e prova educacional íntegro.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Construtores: Quiz, Tarefa e vários formatos de conteúdo não têm modelos próprios; mostram campos genéricos e não permitem perguntas, respostas, rubricas, submissões ou avaliação real.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Governança: um curso privado e em rascunho pôde ser inscrito e consumido; a submissão para revisão mudou o ID público de 22 para 23 e invalidou o URL anterior.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Confiança: os relatórios apresentam métricas e afirmações demonstrativas como se fossem dados reais, apesar de não existir actividade correspondente.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Papéis: a conta Instituição recebe chamadas, rotas e perfil de Mentor; a identidade institucional tem duas rotas, uma delas quebrada.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Consumo: o progresso só reflectiu 100% depois de recarregar a página, não existe emissão verificável de certificado e há afirmações de aptidão antes de prova.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Operação: Propostas falha, vinculação de estudantes não oferece acção, 2FA está “em breve”, atalhos PWA estão quebrados e as páginas demoraram aproximadamente 6–16 segundos para apresentar conteúdo.</w:t>
      </w:r>
    </w:p>
    <w:p>
      <w:pPr>
        <w:spacing w:before="120" w:after="200" w:line="264" w:lineRule="auto"/>
        <w:ind w:left="173" w:right="86"/>
        <w:shd w:fill="FFF4D6"/>
        <w:pBdr>
          <w:left w:val="single" w:sz="18" w:space="8" w:color="7A5A00"/>
        </w:pBdr>
      </w:pPr>
      <w:r>
        <w:rPr>
          <w:rFonts w:ascii="Calibri" w:hAnsi="Calibri"/>
          <w:b/>
          <w:color w:val="7A5A00"/>
          <w:sz w:val="20"/>
        </w:rPr>
        <w:t xml:space="preserve">RECOMENDAÇÃO  </w:t>
      </w:r>
      <w:r>
        <w:rPr>
          <w:rFonts w:ascii="Calibri" w:hAnsi="Calibri"/>
          <w:color w:val="000000"/>
          <w:sz w:val="21"/>
        </w:rPr>
        <w:t>Congelar o onboarding externo. Abrir um piloto controlado apenas depois de todos os P0 passarem por regressão com uma instituição, um mentor e um aluno em contas separadas.</w:t>
      </w:r>
    </w:p>
    <w:p>
      <w:pPr>
        <w:pStyle w:val="Heading1"/>
        <w:keepNext/>
        <w:pageBreakBefore/>
      </w:pPr>
      <w:r>
        <w:t>2. Âmbito e método</w:t>
      </w:r>
    </w:p>
    <w:p>
      <w:r>
        <w:rPr>
          <w:rFonts w:ascii="Calibri" w:hAnsi="Calibri"/>
          <w:i w:val="0"/>
          <w:color w:val="000000"/>
        </w:rPr>
        <w:t>A auditoria foi executada numa sessão autenticada como Instituição, com navegação real e um conteúdo de QA privado, claramente identificado, para testar persistência, revisão e consumo.</w:t>
      </w:r>
    </w:p>
    <w:p>
      <w:pPr>
        <w:pStyle w:val="Heading2"/>
        <w:keepNext/>
        <w:pageBreakBefore w:val="0"/>
      </w:pPr>
      <w:r>
        <w:t>Fluxos inspeccionados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Dashboard, navegação, configurações, perfil e identidade institucional.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Listagem e construtores de Cursos, Experiências, Simulações e Programas.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Submissão para revisão, acesso ao detalhe, inscrição, player, progresso e conclusão.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Explorar, catálogos públicos/autenticados, perfis de mentores e operações institucionais.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Manifesto PWA, atalhos instaláveis e comportamento das rotas declaradas.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Comparação funcional com documentação oficial do Springpod e Tutor LMS.</w:t>
      </w:r>
    </w:p>
    <w:p>
      <w:pPr>
        <w:pStyle w:val="Heading2"/>
        <w:keepNext/>
        <w:pageBreakBefore w:val="0"/>
      </w:pPr>
      <w:r>
        <w:t>Fora do âmbito desta fase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Código-fonte, arquitectura de backend, base de dados e migrações.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Teste de penetração, OWASP, revisão de permissões ao nível da API e protecção de dados.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Teste de carga, Core Web Vitals instrumentados e telemetria de produção.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Offline real, sincronização após reconexão e compatibilidade em dispositivos físicos.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Fluxos administrativos internos de aprovação, pagamentos e reconciliação financeira.</w:t>
      </w:r>
    </w:p>
    <w:p>
      <w:pPr>
        <w:pStyle w:val="Heading1"/>
        <w:keepNext/>
        <w:pageBreakBefore/>
      </w:pPr>
      <w:r>
        <w:t>3. Bloqueadores P0</w:t>
      </w:r>
    </w:p>
    <w:p>
      <w:r>
        <w:rPr>
          <w:rFonts w:ascii="Calibri" w:hAnsi="Calibri"/>
          <w:i w:val="0"/>
          <w:color w:val="000000"/>
        </w:rPr>
        <w:t>Todos os itens desta secção devem estar fechados antes de convidar criadores externos. Cada aceitação foi escrita como comportamento verificável.</w:t>
      </w:r>
    </w:p>
    <w:p>
      <w:pPr>
        <w:pStyle w:val="Heading2"/>
        <w:keepNext/>
        <w:pageBreakBefore w:val="0"/>
      </w:pPr>
      <w:r>
        <w:t>3.1 Studio de criação</w:t>
      </w:r>
    </w:p>
    <w:p>
      <w:pPr>
        <w:pStyle w:val="Heading3"/>
        <w:keepNext/>
        <w:pageBreakBefore w:val="0"/>
      </w:pPr>
      <w:r>
        <w:t>PDC-001 — Quiz e Tarefa são apenas rótulos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Evidência: </w:t>
      </w:r>
      <w:r>
        <w:rPr>
          <w:rFonts w:ascii="Calibri" w:hAnsi="Calibri"/>
          <w:color w:val="000000"/>
        </w:rPr>
        <w:t>No construtor de Curso, Vídeo, PDF, Iframe, Tarefa, Quiz e Texto expõem praticamente os mesmos campos: URL/embed, Video ID, ficheiro, vídeo PDC e texto.</w:t>
      </w:r>
    </w:p>
    <w:p>
      <w:pPr>
        <w:spacing w:after="80"/>
      </w:pPr>
      <w:r>
        <w:rPr>
          <w:rFonts w:ascii="Calibri" w:hAnsi="Calibri"/>
          <w:b/>
          <w:color w:val="9B1C1C"/>
        </w:rPr>
        <w:t xml:space="preserve">Risco: </w:t>
      </w:r>
      <w:r>
        <w:rPr>
          <w:rFonts w:ascii="Calibri" w:hAnsi="Calibri"/>
          <w:color w:val="000000"/>
        </w:rPr>
        <w:t>Mentores não conseguem criar avaliação válida; alunos não conseguem submeter evidência; o PDC não pode provar aprendizagem.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Correcção: </w:t>
      </w:r>
      <w:r>
        <w:rPr>
          <w:rFonts w:ascii="Calibri" w:hAnsi="Calibri"/>
          <w:color w:val="000000"/>
        </w:rPr>
        <w:t>Implementar modelos tipados. Quiz deve ter perguntas, opções, resposta correcta, pontos, nota mínima, tentativas e feedback. Tarefa deve ter instruções, resposta por texto/ficheiro, prazo, rubrica e revisão.</w:t>
      </w:r>
    </w:p>
    <w:p>
      <w:pPr>
        <w:spacing w:after="80"/>
      </w:pPr>
      <w:r>
        <w:rPr>
          <w:rFonts w:ascii="Calibri" w:hAnsi="Calibri"/>
          <w:b/>
          <w:color w:val="276738"/>
        </w:rPr>
        <w:t xml:space="preserve">Aceitação: </w:t>
      </w:r>
      <w:r>
        <w:rPr>
          <w:rFonts w:ascii="Calibri" w:hAnsi="Calibri"/>
          <w:color w:val="000000"/>
        </w:rPr>
        <w:t>Um criador configura e pré-visualiza Quiz e Tarefa completos; um aluno submete; um revisor avalia; o resultado alimenta progresso e evidência.</w:t>
      </w:r>
    </w:p>
    <w:p>
      <w:pPr>
        <w:pStyle w:val="Heading3"/>
        <w:keepNext/>
        <w:pageBreakBefore w:val="0"/>
      </w:pPr>
      <w:r>
        <w:t>PDC-002 — Simulações Tipo 1 e Tipo 3 não têm motor configurável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Evidência: </w:t>
      </w:r>
      <w:r>
        <w:rPr>
          <w:rFonts w:ascii="Calibri" w:hAnsi="Calibri"/>
          <w:color w:val="000000"/>
        </w:rPr>
        <w:t>A simulação oferece Quiz Psicométrico, Iframe Soberano e Cenário Imersivo, mas apenas o Iframe apresenta configuração específica. Os outros tipos não têm perguntas, estados, escolhas ou eventos.</w:t>
      </w:r>
    </w:p>
    <w:p>
      <w:pPr>
        <w:spacing w:after="80"/>
      </w:pPr>
      <w:r>
        <w:rPr>
          <w:rFonts w:ascii="Calibri" w:hAnsi="Calibri"/>
          <w:b/>
          <w:color w:val="9B1C1C"/>
        </w:rPr>
        <w:t xml:space="preserve">Risco: </w:t>
      </w:r>
      <w:r>
        <w:rPr>
          <w:rFonts w:ascii="Calibri" w:hAnsi="Calibri"/>
          <w:color w:val="000000"/>
        </w:rPr>
        <w:t>A proposta de “experimentar” fica vazia e as métricas Fluência/Resiliência/Foco não têm ligação observável ao comportamento do aluno.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Correcção: </w:t>
      </w:r>
      <w:r>
        <w:rPr>
          <w:rFonts w:ascii="Calibri" w:hAnsi="Calibri"/>
          <w:color w:val="000000"/>
        </w:rPr>
        <w:t>Criar bancos de itens e escalas para o psicométrico; para cenários, modelar estados, decisões, consequências, feedback e mapeamento transparente de eventos para métricas.</w:t>
      </w:r>
    </w:p>
    <w:p>
      <w:pPr>
        <w:spacing w:after="80"/>
      </w:pPr>
      <w:r>
        <w:rPr>
          <w:rFonts w:ascii="Calibri" w:hAnsi="Calibri"/>
          <w:b/>
          <w:color w:val="276738"/>
        </w:rPr>
        <w:t xml:space="preserve">Aceitação: </w:t>
      </w:r>
      <w:r>
        <w:rPr>
          <w:rFonts w:ascii="Calibri" w:hAnsi="Calibri"/>
          <w:color w:val="000000"/>
        </w:rPr>
        <w:t>Cada motor produz uma execução reproduzível, pontuação explicável e registo de eventos; o criador consegue testar o cenário antes de publicar.</w:t>
      </w:r>
    </w:p>
    <w:p>
      <w:pPr>
        <w:pStyle w:val="Heading3"/>
        <w:keepNext/>
        <w:pageBreakBefore w:val="0"/>
      </w:pPr>
      <w:r>
        <w:t>PDC-003 — Formatos de Experiência não têm schema próprio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Evidência: </w:t>
      </w:r>
      <w:r>
        <w:rPr>
          <w:rFonts w:ascii="Calibri" w:hAnsi="Calibri"/>
          <w:color w:val="000000"/>
        </w:rPr>
        <w:t>Texto, vídeo, imagem, galeria, PDF, link, áudio, testemunho, FAQ, CTA e estatística usam o mesmo título, campo genérico de conteúdo/URL e upload.</w:t>
      </w:r>
    </w:p>
    <w:p>
      <w:pPr>
        <w:spacing w:after="80"/>
      </w:pPr>
      <w:r>
        <w:rPr>
          <w:rFonts w:ascii="Calibri" w:hAnsi="Calibri"/>
          <w:b/>
          <w:color w:val="9B1C1C"/>
        </w:rPr>
        <w:t xml:space="preserve">Risco: </w:t>
      </w:r>
      <w:r>
        <w:rPr>
          <w:rFonts w:ascii="Calibri" w:hAnsi="Calibri"/>
          <w:color w:val="000000"/>
        </w:rPr>
        <w:t>Não há validação, acessibilidade nem pré-visualização fiável; o criador pode publicar conteúdo inválido ou impossível de consumir.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Correcção: </w:t>
      </w:r>
      <w:r>
        <w:rPr>
          <w:rFonts w:ascii="Calibri" w:hAnsi="Calibri"/>
          <w:color w:val="000000"/>
        </w:rPr>
        <w:t>Definir componentes por formato com campos relevantes, validação, estados de upload, transcrição/alt text e representação no player.</w:t>
      </w:r>
    </w:p>
    <w:p>
      <w:pPr>
        <w:spacing w:after="80"/>
      </w:pPr>
      <w:r>
        <w:rPr>
          <w:rFonts w:ascii="Calibri" w:hAnsi="Calibri"/>
          <w:b/>
          <w:color w:val="276738"/>
        </w:rPr>
        <w:t xml:space="preserve">Aceitação: </w:t>
      </w:r>
      <w:r>
        <w:rPr>
          <w:rFonts w:ascii="Calibri" w:hAnsi="Calibri"/>
          <w:color w:val="000000"/>
        </w:rPr>
        <w:t>Ao trocar o tipo, só aparecem os campos necessários; dados incompatíveis são migrados ou confirmados; preview e player reproduzem o mesmo resultado.</w:t>
      </w:r>
    </w:p>
    <w:p>
      <w:pPr>
        <w:pStyle w:val="Heading2"/>
        <w:keepNext/>
        <w:pageBreakBefore w:val="0"/>
      </w:pPr>
      <w:r>
        <w:t>3.2 Identidade, acesso e revisão</w:t>
      </w:r>
    </w:p>
    <w:p>
      <w:pPr>
        <w:pStyle w:val="Heading3"/>
        <w:keepNext/>
        <w:pageBreakBefore w:val="0"/>
      </w:pPr>
      <w:r>
        <w:t>PDC-004 — A submissão muda o ID do curso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Evidência: </w:t>
      </w:r>
      <w:r>
        <w:rPr>
          <w:rFonts w:ascii="Calibri" w:hAnsi="Calibri"/>
          <w:color w:val="000000"/>
        </w:rPr>
        <w:t>O curso de QA foi criado como ID 22. Após “Submeter para Revisão”, passou a ID 23; o URL anterior deixou de carregar.</w:t>
      </w:r>
    </w:p>
    <w:p>
      <w:pPr>
        <w:spacing w:after="80"/>
      </w:pPr>
      <w:r>
        <w:rPr>
          <w:rFonts w:ascii="Calibri" w:hAnsi="Calibri"/>
          <w:b/>
          <w:color w:val="9B1C1C"/>
        </w:rPr>
        <w:t xml:space="preserve">Risco: </w:t>
      </w:r>
      <w:r>
        <w:rPr>
          <w:rFonts w:ascii="Calibri" w:hAnsi="Calibri"/>
          <w:color w:val="000000"/>
        </w:rPr>
        <w:t>Links, inscrições, progresso, integrações e auditoria perdem referência. É um risco de integridade de dados.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Correcção: </w:t>
      </w:r>
      <w:r>
        <w:rPr>
          <w:rFonts w:ascii="Calibri" w:hAnsi="Calibri"/>
          <w:color w:val="000000"/>
        </w:rPr>
        <w:t>Manter um ID imutável para a entidade e criar versões internas separadas. Alterações de estado nunca podem recriar a identidade pública.</w:t>
      </w:r>
    </w:p>
    <w:p>
      <w:pPr>
        <w:spacing w:after="80"/>
      </w:pPr>
      <w:r>
        <w:rPr>
          <w:rFonts w:ascii="Calibri" w:hAnsi="Calibri"/>
          <w:b/>
          <w:color w:val="276738"/>
        </w:rPr>
        <w:t xml:space="preserve">Aceitação: </w:t>
      </w:r>
      <w:r>
        <w:rPr>
          <w:rFonts w:ascii="Calibri" w:hAnsi="Calibri"/>
          <w:color w:val="000000"/>
        </w:rPr>
        <w:t>O mesmo ID e slug sobrevivem a guardar, submeter, pedir alterações, aprovar, publicar, despublicar e arquivar; os URLs anteriores continuam válidos.</w:t>
      </w:r>
    </w:p>
    <w:p>
      <w:pPr>
        <w:pStyle w:val="Heading3"/>
        <w:keepNext/>
        <w:pageBreakBefore w:val="0"/>
      </w:pPr>
      <w:r>
        <w:t>PDC-005 — Rascunho privado e conteúdo pendente podem ser consumidos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Evidência: </w:t>
      </w:r>
      <w:r>
        <w:rPr>
          <w:rFonts w:ascii="Calibri" w:hAnsi="Calibri"/>
          <w:color w:val="000000"/>
        </w:rPr>
        <w:t>A conta criadora inscreveu-se e consumiu o curso privado em rascunho; após revisão pendente, o detalhe e o player permaneceram acessíveis.</w:t>
      </w:r>
    </w:p>
    <w:p>
      <w:pPr>
        <w:spacing w:after="80"/>
      </w:pPr>
      <w:r>
        <w:rPr>
          <w:rFonts w:ascii="Calibri" w:hAnsi="Calibri"/>
          <w:b/>
          <w:color w:val="9B1C1C"/>
        </w:rPr>
        <w:t xml:space="preserve">Risco: </w:t>
      </w:r>
      <w:r>
        <w:rPr>
          <w:rFonts w:ascii="Calibri" w:hAnsi="Calibri"/>
          <w:color w:val="000000"/>
        </w:rPr>
        <w:t>Conteúdo não aprovado pode escapar para utilizadores, indexação ou links partilhados. Preview e consumo real estão misturados.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Correcção: </w:t>
      </w:r>
      <w:r>
        <w:rPr>
          <w:rFonts w:ascii="Calibri" w:hAnsi="Calibri"/>
          <w:color w:val="000000"/>
        </w:rPr>
        <w:t>Aplicar autorização por estado e papel. Preview deve usar uma rota/token explícito, sem inscrição, métricas reais ou certificado.</w:t>
      </w:r>
    </w:p>
    <w:p>
      <w:pPr>
        <w:spacing w:after="80"/>
      </w:pPr>
      <w:r>
        <w:rPr>
          <w:rFonts w:ascii="Calibri" w:hAnsi="Calibri"/>
          <w:b/>
          <w:color w:val="276738"/>
        </w:rPr>
        <w:t xml:space="preserve">Aceitação: </w:t>
      </w:r>
      <w:r>
        <w:rPr>
          <w:rFonts w:ascii="Calibri" w:hAnsi="Calibri"/>
          <w:color w:val="000000"/>
        </w:rPr>
        <w:t>Contas não autorizadas recebem 404/403; criador/revisor vê um preview marcado; draft/review nunca entra no catálogo, inscrição ou progresso real.</w:t>
      </w:r>
    </w:p>
    <w:p>
      <w:pPr>
        <w:pStyle w:val="Heading3"/>
        <w:keepNext/>
        <w:pageBreakBefore w:val="0"/>
      </w:pPr>
      <w:r>
        <w:t>PDC-006 — Revisão não é um estado governado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Evidência: </w:t>
      </w:r>
      <w:r>
        <w:rPr>
          <w:rFonts w:ascii="Calibri" w:hAnsi="Calibri"/>
          <w:color w:val="000000"/>
        </w:rPr>
        <w:t>O curso pendente continua editável, com “Guardar Rascunho”, sem snapshot, bloqueio, cancelar revisão, comentários, rejeição ou reenvio observável.</w:t>
      </w:r>
    </w:p>
    <w:p>
      <w:pPr>
        <w:spacing w:after="80"/>
      </w:pPr>
      <w:r>
        <w:rPr>
          <w:rFonts w:ascii="Calibri" w:hAnsi="Calibri"/>
          <w:b/>
          <w:color w:val="9B1C1C"/>
        </w:rPr>
        <w:t xml:space="preserve">Risco: </w:t>
      </w:r>
      <w:r>
        <w:rPr>
          <w:rFonts w:ascii="Calibri" w:hAnsi="Calibri"/>
          <w:color w:val="000000"/>
        </w:rPr>
        <w:t>O revisor pode aprovar uma versão diferente da que analisou; não há trilho de responsabilidade.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Correcção: </w:t>
      </w:r>
      <w:r>
        <w:rPr>
          <w:rFonts w:ascii="Calibri" w:hAnsi="Calibri"/>
          <w:color w:val="000000"/>
        </w:rPr>
        <w:t>Implementar máquina de estados: draft → in_review → changes_requested → approved → published → archived, com snapshot versionado, comentários e actor/data.</w:t>
      </w:r>
    </w:p>
    <w:p>
      <w:pPr>
        <w:spacing w:after="80"/>
      </w:pPr>
      <w:r>
        <w:rPr>
          <w:rFonts w:ascii="Calibri" w:hAnsi="Calibri"/>
          <w:b/>
          <w:color w:val="276738"/>
        </w:rPr>
        <w:t xml:space="preserve">Aceitação: </w:t>
      </w:r>
      <w:r>
        <w:rPr>
          <w:rFonts w:ascii="Calibri" w:hAnsi="Calibri"/>
          <w:color w:val="000000"/>
        </w:rPr>
        <w:t>A versão em revisão é imutável; qualquer alteração cria nova versão; a decisão identifica revisor, data e comentários; o criador pode responder e reenviar.</w:t>
      </w:r>
    </w:p>
    <w:p>
      <w:pPr>
        <w:pStyle w:val="Heading2"/>
        <w:keepNext/>
        <w:pageBreakBefore w:val="0"/>
      </w:pPr>
      <w:r>
        <w:t>3.3 Consumo, prova e certificação</w:t>
      </w:r>
    </w:p>
    <w:p>
      <w:pPr>
        <w:pStyle w:val="Heading3"/>
        <w:keepNext/>
        <w:pageBreakBefore w:val="0"/>
      </w:pPr>
      <w:r>
        <w:t>PDC-007 — Progresso só sincroniza após recarregar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Evidência: </w:t>
      </w:r>
      <w:r>
        <w:rPr>
          <w:rFonts w:ascii="Calibri" w:hAnsi="Calibri"/>
          <w:color w:val="000000"/>
        </w:rPr>
        <w:t>Ao concluir o item, o botão ficou desactivado e a interface manteve 0% durante cerca de 11 segundos; apenas o reload apresentou 100%.</w:t>
      </w:r>
    </w:p>
    <w:p>
      <w:pPr>
        <w:spacing w:after="80"/>
      </w:pPr>
      <w:r>
        <w:rPr>
          <w:rFonts w:ascii="Calibri" w:hAnsi="Calibri"/>
          <w:b/>
          <w:color w:val="9B1C1C"/>
        </w:rPr>
        <w:t xml:space="preserve">Risco: </w:t>
      </w:r>
      <w:r>
        <w:rPr>
          <w:rFonts w:ascii="Calibri" w:hAnsi="Calibri"/>
          <w:color w:val="000000"/>
        </w:rPr>
        <w:t>O aluno não sabe se a acção funcionou, repete cliques e perde confiança; automações de conclusão podem divergir.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Correcção: </w:t>
      </w:r>
      <w:r>
        <w:rPr>
          <w:rFonts w:ascii="Calibri" w:hAnsi="Calibri"/>
          <w:color w:val="000000"/>
        </w:rPr>
        <w:t>Aplicar actualização optimista controlada, confirmação do servidor, retry idempotente e estado de erro recuperável.</w:t>
      </w:r>
    </w:p>
    <w:p>
      <w:pPr>
        <w:spacing w:after="80"/>
      </w:pPr>
      <w:r>
        <w:rPr>
          <w:rFonts w:ascii="Calibri" w:hAnsi="Calibri"/>
          <w:b/>
          <w:color w:val="276738"/>
        </w:rPr>
        <w:t xml:space="preserve">Aceitação: </w:t>
      </w:r>
      <w:r>
        <w:rPr>
          <w:rFonts w:ascii="Calibri" w:hAnsi="Calibri"/>
          <w:color w:val="000000"/>
        </w:rPr>
        <w:t>A conclusão reflecte no item, módulo, curso e CTA em menos de 1 segundo após resposta; reload preserva exactamente o mesmo estado.</w:t>
      </w:r>
    </w:p>
    <w:p>
      <w:pPr>
        <w:pStyle w:val="Heading3"/>
        <w:keepNext/>
        <w:pageBreakBefore w:val="0"/>
      </w:pPr>
      <w:r>
        <w:t>PDC-014 — Aptidão e certificado são prometidos sem prova verificável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Evidência: </w:t>
      </w:r>
      <w:r>
        <w:rPr>
          <w:rFonts w:ascii="Calibri" w:hAnsi="Calibri"/>
          <w:color w:val="000000"/>
        </w:rPr>
        <w:t>O detalhe exibe “Aptidão Validada” e “Certificado Digital” mesmo antes de conclusão; a 100% não apareceu emissão, download ou credencial verificável.</w:t>
      </w:r>
    </w:p>
    <w:p>
      <w:pPr>
        <w:spacing w:after="80"/>
      </w:pPr>
      <w:r>
        <w:rPr>
          <w:rFonts w:ascii="Calibri" w:hAnsi="Calibri"/>
          <w:b/>
          <w:color w:val="9B1C1C"/>
        </w:rPr>
        <w:t xml:space="preserve">Risco: </w:t>
      </w:r>
      <w:r>
        <w:rPr>
          <w:rFonts w:ascii="Calibri" w:hAnsi="Calibri"/>
          <w:color w:val="000000"/>
        </w:rPr>
        <w:t>Afirmações educacionais e profissionais ficam juridicamente e reputacionalmente frágeis.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Correcção: </w:t>
      </w:r>
      <w:r>
        <w:rPr>
          <w:rFonts w:ascii="Calibri" w:hAnsi="Calibri"/>
          <w:color w:val="000000"/>
        </w:rPr>
        <w:t>Separar progresso, aprovação e competência. Emitir certificado apenas quando todas as regras, avaliação e revisão aplicáveis forem satisfeitas.</w:t>
      </w:r>
    </w:p>
    <w:p>
      <w:pPr>
        <w:spacing w:after="80"/>
      </w:pPr>
      <w:r>
        <w:rPr>
          <w:rFonts w:ascii="Calibri" w:hAnsi="Calibri"/>
          <w:b/>
          <w:color w:val="276738"/>
        </w:rPr>
        <w:t xml:space="preserve">Aceitação: </w:t>
      </w:r>
      <w:r>
        <w:rPr>
          <w:rFonts w:ascii="Calibri" w:hAnsi="Calibri"/>
          <w:color w:val="000000"/>
        </w:rPr>
        <w:t>Antes da aprovação não existe claim de aptidão; após conclusão válida é criado certificado com ID verificável, data, emissor, critérios e URL de verificação.</w:t>
      </w:r>
    </w:p>
    <w:p>
      <w:pPr>
        <w:pStyle w:val="Heading2"/>
        <w:keepNext/>
        <w:pageBreakBefore w:val="0"/>
      </w:pPr>
      <w:r>
        <w:t>3.4 Confiança, operações, segurança e PWA</w:t>
      </w:r>
    </w:p>
    <w:p>
      <w:pPr>
        <w:pStyle w:val="Heading3"/>
        <w:keepNext/>
        <w:pageBreakBefore w:val="0"/>
      </w:pPr>
      <w:r>
        <w:t>PDC-008 — Relatórios apresentam dados demonstrativos como reais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Evidência: </w:t>
      </w:r>
      <w:r>
        <w:rPr>
          <w:rFonts w:ascii="Calibri" w:hAnsi="Calibri"/>
          <w:color w:val="000000"/>
        </w:rPr>
        <w:t>A página mostra “-22% Redução de Evasão”, “80% mais chance de concluir”, “450 Talentos de Elite”, “94.8% Precisão de Match” e 75% de conversão para um curso sem actividade correspondente.</w:t>
      </w:r>
    </w:p>
    <w:p>
      <w:pPr>
        <w:spacing w:after="80"/>
      </w:pPr>
      <w:r>
        <w:rPr>
          <w:rFonts w:ascii="Calibri" w:hAnsi="Calibri"/>
          <w:b/>
          <w:color w:val="9B1C1C"/>
        </w:rPr>
        <w:t xml:space="preserve">Risco: </w:t>
      </w:r>
      <w:r>
        <w:rPr>
          <w:rFonts w:ascii="Calibri" w:hAnsi="Calibri"/>
          <w:color w:val="000000"/>
        </w:rPr>
        <w:t>Risco de decisão errada, quebra de confiança e exposição jurídica/comercial.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Correcção: </w:t>
      </w:r>
      <w:r>
        <w:rPr>
          <w:rFonts w:ascii="Calibri" w:hAnsi="Calibri"/>
          <w:color w:val="000000"/>
        </w:rPr>
        <w:t>Remover dados sintéticos da produção ou marcá-los inequivocamente como demonstração. Calcular apenas métricas derivadas de eventos auditáveis.</w:t>
      </w:r>
    </w:p>
    <w:p>
      <w:pPr>
        <w:spacing w:after="80"/>
      </w:pPr>
      <w:r>
        <w:rPr>
          <w:rFonts w:ascii="Calibri" w:hAnsi="Calibri"/>
          <w:b/>
          <w:color w:val="276738"/>
        </w:rPr>
        <w:t xml:space="preserve">Aceitação: </w:t>
      </w:r>
      <w:r>
        <w:rPr>
          <w:rFonts w:ascii="Calibri" w:hAnsi="Calibri"/>
          <w:color w:val="000000"/>
        </w:rPr>
        <w:t>Com zero eventos, o relatório mostra estado vazio e explicação; cada métrica expõe definição, período, numerador, denominador e origem.</w:t>
      </w:r>
    </w:p>
    <w:p>
      <w:pPr>
        <w:pStyle w:val="Heading3"/>
        <w:keepNext/>
        <w:pageBreakBefore w:val="0"/>
      </w:pPr>
      <w:r>
        <w:t>PDC-009 — Separação de papéis Instituição/Mentor está quebrada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Evidência: </w:t>
      </w:r>
      <w:r>
        <w:rPr>
          <w:rFonts w:ascii="Calibri" w:hAnsi="Calibri"/>
          <w:color w:val="000000"/>
        </w:rPr>
        <w:t>Home pede “Completa o teu perfil de mentor”; rotas de cursos/simulações usam /app/mentor; perfil institucional é um perfil pessoal; perfil de mentor mostra CTAs de login apesar da sessão activa.</w:t>
      </w:r>
    </w:p>
    <w:p>
      <w:pPr>
        <w:spacing w:after="80"/>
      </w:pPr>
      <w:r>
        <w:rPr>
          <w:rFonts w:ascii="Calibri" w:hAnsi="Calibri"/>
          <w:b/>
          <w:color w:val="9B1C1C"/>
        </w:rPr>
        <w:t xml:space="preserve">Risco: </w:t>
      </w:r>
      <w:r>
        <w:rPr>
          <w:rFonts w:ascii="Calibri" w:hAnsi="Calibri"/>
          <w:color w:val="000000"/>
        </w:rPr>
        <w:t>Navegação, autorização e linguagem tornam-se imprevisíveis; existe risco de acesso incorrecto e abandono no onboarding.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Correcção: </w:t>
      </w:r>
      <w:r>
        <w:rPr>
          <w:rFonts w:ascii="Calibri" w:hAnsi="Calibri"/>
          <w:color w:val="000000"/>
        </w:rPr>
        <w:t>Definir matriz de papéis e capacidades, rotas canónicas e shells separados. Remover textos e URLs herdados de outros papéis.</w:t>
      </w:r>
    </w:p>
    <w:p>
      <w:pPr>
        <w:spacing w:after="80"/>
      </w:pPr>
      <w:r>
        <w:rPr>
          <w:rFonts w:ascii="Calibri" w:hAnsi="Calibri"/>
          <w:b/>
          <w:color w:val="276738"/>
        </w:rPr>
        <w:t xml:space="preserve">Aceitação: </w:t>
      </w:r>
      <w:r>
        <w:rPr>
          <w:rFonts w:ascii="Calibri" w:hAnsi="Calibri"/>
          <w:color w:val="000000"/>
        </w:rPr>
        <w:t>Testes E2E por papel validam menus, rotas, CTAs, 403/404 e conteúdo; nenhuma conta Instituição recebe copy ou formulários de Mentor.</w:t>
      </w:r>
    </w:p>
    <w:p>
      <w:pPr>
        <w:pStyle w:val="Heading3"/>
        <w:keepNext/>
        <w:pageBreakBefore w:val="0"/>
      </w:pPr>
      <w:r>
        <w:t>PDC-010 — Rotas institucionais essenciais estão quebradas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Evidência: </w:t>
      </w:r>
      <w:r>
        <w:rPr>
          <w:rFonts w:ascii="Calibri" w:hAnsi="Calibri"/>
          <w:color w:val="000000"/>
        </w:rPr>
        <w:t>“Identidade Visual” aponta para /app/instituicao/perfil e falha ao carregar a instituição; “Branding” usa outra rota funcional. Propostas apresenta “Erro ao carregar propostas”.</w:t>
      </w:r>
    </w:p>
    <w:p>
      <w:pPr>
        <w:spacing w:after="80"/>
      </w:pPr>
      <w:r>
        <w:rPr>
          <w:rFonts w:ascii="Calibri" w:hAnsi="Calibri"/>
          <w:b/>
          <w:color w:val="9B1C1C"/>
        </w:rPr>
        <w:t xml:space="preserve">Risco: </w:t>
      </w:r>
      <w:r>
        <w:rPr>
          <w:rFonts w:ascii="Calibri" w:hAnsi="Calibri"/>
          <w:color w:val="000000"/>
        </w:rPr>
        <w:t>A instituição não conclui configuração nem operações básicas sem suporte manual.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Correcção: </w:t>
      </w:r>
      <w:r>
        <w:rPr>
          <w:rFonts w:ascii="Calibri" w:hAnsi="Calibri"/>
          <w:color w:val="000000"/>
        </w:rPr>
        <w:t>Consolidar perfil/branding numa rota canónica; corrigir lookup da instituição; implementar estados vazio, erro e retry em Propostas.</w:t>
      </w:r>
    </w:p>
    <w:p>
      <w:pPr>
        <w:spacing w:after="80"/>
      </w:pPr>
      <w:r>
        <w:rPr>
          <w:rFonts w:ascii="Calibri" w:hAnsi="Calibri"/>
          <w:b/>
          <w:color w:val="276738"/>
        </w:rPr>
        <w:t xml:space="preserve">Aceitação: </w:t>
      </w:r>
      <w:r>
        <w:rPr>
          <w:rFonts w:ascii="Calibri" w:hAnsi="Calibri"/>
          <w:color w:val="000000"/>
        </w:rPr>
        <w:t>O sidebar e dashboard abrem a mesma entidade; a configuração persiste; Propostas carrega ou mostra vazio accionável sem erro técnico.</w:t>
      </w:r>
    </w:p>
    <w:p>
      <w:pPr>
        <w:pStyle w:val="Heading3"/>
        <w:keepNext/>
        <w:pageBreakBefore w:val="0"/>
      </w:pPr>
      <w:r>
        <w:t>PDC-011 — Atalhos do PWA apontam para rotas inválidas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Evidência: </w:t>
      </w:r>
      <w:r>
        <w:rPr>
          <w:rFonts w:ascii="Calibri" w:hAnsi="Calibri"/>
          <w:color w:val="000000"/>
        </w:rPr>
        <w:t>O manifesto declara /feed, /mensagens e /perfil, que retornaram 404; /simulacoes/nova não resolveu uma página utilizável.</w:t>
      </w:r>
    </w:p>
    <w:p>
      <w:pPr>
        <w:spacing w:after="80"/>
      </w:pPr>
      <w:r>
        <w:rPr>
          <w:rFonts w:ascii="Calibri" w:hAnsi="Calibri"/>
          <w:b/>
          <w:color w:val="9B1C1C"/>
        </w:rPr>
        <w:t xml:space="preserve">Risco: </w:t>
      </w:r>
      <w:r>
        <w:rPr>
          <w:rFonts w:ascii="Calibri" w:hAnsi="Calibri"/>
          <w:color w:val="000000"/>
        </w:rPr>
        <w:t>A aplicação instalada parece quebrada logo nas acções principais.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Correcção: </w:t>
      </w:r>
      <w:r>
        <w:rPr>
          <w:rFonts w:ascii="Calibri" w:hAnsi="Calibri"/>
          <w:color w:val="000000"/>
        </w:rPr>
        <w:t>Usar rotas canónicas autenticadas /app/..., testar instalação e fallback de sessão; rever start_url, scope e orientação.</w:t>
      </w:r>
    </w:p>
    <w:p>
      <w:pPr>
        <w:spacing w:after="80"/>
      </w:pPr>
      <w:r>
        <w:rPr>
          <w:rFonts w:ascii="Calibri" w:hAnsi="Calibri"/>
          <w:b/>
          <w:color w:val="276738"/>
        </w:rPr>
        <w:t xml:space="preserve">Aceitação: </w:t>
      </w:r>
      <w:r>
        <w:rPr>
          <w:rFonts w:ascii="Calibri" w:hAnsi="Calibri"/>
          <w:color w:val="000000"/>
        </w:rPr>
        <w:t>Todos os atalhos abrem a página correcta com e sem sessão; o retorno pós-login preserva o destino original.</w:t>
      </w:r>
    </w:p>
    <w:p>
      <w:pPr>
        <w:pStyle w:val="Heading3"/>
        <w:keepNext/>
        <w:pageBreakBefore w:val="0"/>
      </w:pPr>
      <w:r>
        <w:t>PDC-012 — Tempo de apresentação incompatível com onboarding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Evidência: </w:t>
      </w:r>
      <w:r>
        <w:rPr>
          <w:rFonts w:ascii="Calibri" w:hAnsi="Calibri"/>
          <w:color w:val="000000"/>
        </w:rPr>
        <w:t>Rotas de catálogos e operações levaram aproximadamente 6–16 segundos, frequentemente com área principal em branco.</w:t>
      </w:r>
    </w:p>
    <w:p>
      <w:pPr>
        <w:spacing w:after="80"/>
      </w:pPr>
      <w:r>
        <w:rPr>
          <w:rFonts w:ascii="Calibri" w:hAnsi="Calibri"/>
          <w:b/>
          <w:color w:val="9B1C1C"/>
        </w:rPr>
        <w:t xml:space="preserve">Risco: </w:t>
      </w:r>
      <w:r>
        <w:rPr>
          <w:rFonts w:ascii="Calibri" w:hAnsi="Calibri"/>
          <w:color w:val="000000"/>
        </w:rPr>
        <w:t>Criadores interpretam a plataforma como avariada; aumenta abandono e cliques repetidos.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Correcção: </w:t>
      </w:r>
      <w:r>
        <w:rPr>
          <w:rFonts w:ascii="Calibri" w:hAnsi="Calibri"/>
          <w:color w:val="000000"/>
        </w:rPr>
        <w:t>Instrumentar RUM/APM, reduzir waterfalls, paralelizar chamadas, cachear dados estáveis e apresentar skeleton/error states acessíveis.</w:t>
      </w:r>
    </w:p>
    <w:p>
      <w:pPr>
        <w:spacing w:after="80"/>
      </w:pPr>
      <w:r>
        <w:rPr>
          <w:rFonts w:ascii="Calibri" w:hAnsi="Calibri"/>
          <w:b/>
          <w:color w:val="276738"/>
        </w:rPr>
        <w:t xml:space="preserve">Aceitação: </w:t>
      </w:r>
      <w:r>
        <w:rPr>
          <w:rFonts w:ascii="Calibri" w:hAnsi="Calibri"/>
          <w:color w:val="000000"/>
        </w:rPr>
        <w:t>Skeleton aparece em menos de 300 ms; conteúdo principal p75 abaixo de 2,5 s em rede móvel de referência; erros oferecem retry e contexto.</w:t>
      </w:r>
    </w:p>
    <w:p>
      <w:pPr>
        <w:pStyle w:val="Heading3"/>
        <w:keepNext/>
        <w:pageBreakBefore w:val="0"/>
      </w:pPr>
      <w:r>
        <w:t>PDC-013 — 2FA não está disponível para contas institucionais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Evidência: </w:t>
      </w:r>
      <w:r>
        <w:rPr>
          <w:rFonts w:ascii="Calibri" w:hAnsi="Calibri"/>
          <w:color w:val="000000"/>
        </w:rPr>
        <w:t>Configurações de Segurança mostra “CONFIGURAR 2FA (EM BREVE)”.</w:t>
      </w:r>
    </w:p>
    <w:p>
      <w:pPr>
        <w:spacing w:after="80"/>
      </w:pPr>
      <w:r>
        <w:rPr>
          <w:rFonts w:ascii="Calibri" w:hAnsi="Calibri"/>
          <w:b/>
          <w:color w:val="9B1C1C"/>
        </w:rPr>
        <w:t xml:space="preserve">Risco: </w:t>
      </w:r>
      <w:r>
        <w:rPr>
          <w:rFonts w:ascii="Calibri" w:hAnsi="Calibri"/>
          <w:color w:val="000000"/>
        </w:rPr>
        <w:t>Contas com conteúdo, dados de alunos e autoridade de publicação ficam protegidas apenas por palavra-passe.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Correcção: </w:t>
      </w:r>
      <w:r>
        <w:rPr>
          <w:rFonts w:ascii="Calibri" w:hAnsi="Calibri"/>
          <w:color w:val="000000"/>
        </w:rPr>
        <w:t>Disponibilizar TOTP e códigos de recuperação, políticas por organização, gestão de sessões e registo de eventos de segurança.</w:t>
      </w:r>
    </w:p>
    <w:p>
      <w:pPr>
        <w:spacing w:after="80"/>
      </w:pPr>
      <w:r>
        <w:rPr>
          <w:rFonts w:ascii="Calibri" w:hAnsi="Calibri"/>
          <w:b/>
          <w:color w:val="276738"/>
        </w:rPr>
        <w:t xml:space="preserve">Aceitação: </w:t>
      </w:r>
      <w:r>
        <w:rPr>
          <w:rFonts w:ascii="Calibri" w:hAnsi="Calibri"/>
          <w:color w:val="000000"/>
        </w:rPr>
        <w:t>Owner/Admin pode exigir 2FA; activação, recuperação, revogação e sessão auditada passam em testes; operações críticas pedem reautenticação.</w:t>
      </w:r>
    </w:p>
    <w:p>
      <w:pPr>
        <w:pStyle w:val="Heading1"/>
        <w:keepNext/>
        <w:pageBreakBefore/>
      </w:pPr>
      <w:r>
        <w:t>4. Prioridade alta P1</w:t>
      </w:r>
    </w:p>
    <w:p>
      <w:r>
        <w:rPr>
          <w:rFonts w:ascii="Calibri" w:hAnsi="Calibri"/>
          <w:i w:val="0"/>
          <w:color w:val="000000"/>
        </w:rPr>
        <w:t>Estes itens não precisam bloquear uma demonstração interna, mas impedem um piloto externo escalável e seguro.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color w:val="000000"/>
        </w:rPr>
        <w:t>PDC-015 — Vinculação de estudantes</w:t>
      </w:r>
      <w:r>
        <w:rPr>
          <w:rFonts w:ascii="Calibri" w:hAnsi="Calibri"/>
          <w:color w:val="000000"/>
        </w:rPr>
        <w:t>: O estado vazio não oferece convite, código, CSV, link, instruções ou CTA.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color w:val="000000"/>
        </w:rPr>
        <w:t>PDC-016 — Ciclo editorial</w:t>
      </w:r>
      <w:r>
        <w:rPr>
          <w:rFonts w:ascii="Calibri" w:hAnsi="Calibri"/>
          <w:color w:val="000000"/>
        </w:rPr>
        <w:t>: Não há autosave visível, versões, duplicação, arquivo, delete seguro nem cancelamento de revisão.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color w:val="000000"/>
        </w:rPr>
        <w:t>PDC-017 — Revisão pedagógica</w:t>
      </w:r>
      <w:r>
        <w:rPr>
          <w:rFonts w:ascii="Calibri" w:hAnsi="Calibri"/>
          <w:color w:val="000000"/>
        </w:rPr>
        <w:t>: Não existe fila de submissões, rubrica, feedback por item, reavaliação ou gradebook.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color w:val="000000"/>
        </w:rPr>
        <w:t>PDC-018 — Métricas inconsistentes</w:t>
      </w:r>
      <w:r>
        <w:rPr>
          <w:rFonts w:ascii="Calibri" w:hAnsi="Calibri"/>
          <w:color w:val="000000"/>
        </w:rPr>
        <w:t>: Dashboard, lista, detalhe e relatório discordam sobre cursos, inscrições e progresso.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color w:val="000000"/>
        </w:rPr>
        <w:t>PDC-019 — Sessão e CTAs públicos</w:t>
      </w:r>
      <w:r>
        <w:rPr>
          <w:rFonts w:ascii="Calibri" w:hAnsi="Calibri"/>
          <w:color w:val="000000"/>
        </w:rPr>
        <w:t>: Perfis autenticados apresentam chamadas para criar conta/iniciar sessão e backlinks fora da app.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color w:val="000000"/>
        </w:rPr>
        <w:t>PDC-020 — Linguagem e localização</w:t>
      </w:r>
      <w:r>
        <w:rPr>
          <w:rFonts w:ascii="Calibri" w:hAnsi="Calibri"/>
          <w:color w:val="000000"/>
        </w:rPr>
        <w:t>: Enums crus, “Choose File” em inglês, copy excessiva como Soberano/Oráculo/Elite e toasts inadequados para rascunhos.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color w:val="000000"/>
        </w:rPr>
        <w:t>PDC-021 — Acessibilidade</w:t>
      </w:r>
      <w:r>
        <w:rPr>
          <w:rFonts w:ascii="Calibri" w:hAnsi="Calibri"/>
          <w:color w:val="000000"/>
        </w:rPr>
        <w:t>: Rótulos, foco, mensagens de loading/erro, alt text e navegação por teclado precisam de validação sistemática.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color w:val="000000"/>
        </w:rPr>
        <w:t>PDC-022 — Higiene de conteúdo</w:t>
      </w:r>
      <w:r>
        <w:rPr>
          <w:rFonts w:ascii="Calibri" w:hAnsi="Calibri"/>
          <w:color w:val="000000"/>
        </w:rPr>
        <w:t>: Feed contém conteúdo de teste/spam e o vídeo-guia aponta para about:blank.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color w:val="000000"/>
        </w:rPr>
        <w:t>PDC-023 — Onboarding institucional</w:t>
      </w:r>
      <w:r>
        <w:rPr>
          <w:rFonts w:ascii="Calibri" w:hAnsi="Calibri"/>
          <w:color w:val="000000"/>
        </w:rPr>
        <w:t>: Faltam verificação da organização, equipa, papéis Owner/Admin/Editor/Revisor/Analista e convite de mentores.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color w:val="000000"/>
        </w:rPr>
        <w:t>PDC-024 — Instalação PWA</w:t>
      </w:r>
      <w:r>
        <w:rPr>
          <w:rFonts w:ascii="Calibri" w:hAnsi="Calibri"/>
          <w:color w:val="000000"/>
        </w:rPr>
        <w:t>: start_url envia para a landing, orientação portrait é restritiva para builders e falta meta theme-color no HTML.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b/>
          <w:color w:val="000000"/>
        </w:rPr>
        <w:t>PDC-025 — Telemetria operacional</w:t>
      </w:r>
      <w:r>
        <w:rPr>
          <w:rFonts w:ascii="Calibri" w:hAnsi="Calibri"/>
          <w:color w:val="000000"/>
        </w:rPr>
        <w:t>: Não há definições transparentes, eventos, coortes, exportação ou trilho que sustente as métricas apresentadas.</w:t>
      </w:r>
    </w:p>
    <w:p>
      <w:pPr>
        <w:pStyle w:val="Heading2"/>
        <w:keepNext/>
        <w:pageBreakBefore w:val="0"/>
      </w:pPr>
      <w:r>
        <w:t>P2 — qualidade antes do piloto amplo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Estados vazios com próximos passos e conteúdo de exemplo explicitamente marcado.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Preview responsivo lado a lado para desktop/mobile e consistência entre builder e player.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Padronização de nomenclatura em português de Angola e remoção de enums técnicos.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Aparência, preferências e personalização sincronizadas por conta quando fizer sentido.</w:t>
      </w:r>
    </w:p>
    <w:p>
      <w:pPr>
        <w:pStyle w:val="Heading1"/>
        <w:keepNext/>
        <w:pageBreakBefore/>
      </w:pPr>
      <w:r>
        <w:t>5. Benchmark: o que copiar e o que preservar</w:t>
      </w:r>
    </w:p>
    <w:p>
      <w:r>
        <w:rPr>
          <w:rFonts w:ascii="Calibri" w:hAnsi="Calibri"/>
          <w:i w:val="0"/>
          <w:color w:val="000000"/>
        </w:rPr>
        <w:t>O PDC não deve tornar-se apenas mais um LMS. A referência útil é a maturidade dos mecanismos de criação, avaliação e consumo, preservando o posicionamento próprio: infraestrutura de decisão educacional no percurso Explorar → Experimentar → Aprender → Provar → Decidir.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20"/>
        <w:gridCol w:w="2520"/>
        <w:gridCol w:w="262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Dimensão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Springpod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Tutor LMS</w:t>
            </w:r>
          </w:p>
        </w:tc>
        <w:tc>
          <w:tcPr>
            <w:tcW w:type="dxa" w:w="2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PDC observado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Estrutura</w:t>
            </w:r>
          </w:p>
        </w:tc>
        <w:tc>
          <w:tcPr>
            <w:tcW w:type="dxa" w:w="252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Programas multi-módulo e self-paced</w:t>
            </w:r>
          </w:p>
        </w:tc>
        <w:tc>
          <w:tcPr>
            <w:tcW w:type="dxa" w:w="252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Tópicos, lições, quizzes e tarefas</w:t>
            </w:r>
          </w:p>
        </w:tc>
        <w:tc>
          <w:tcPr>
            <w:tcW w:type="dxa" w:w="262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Módulos/itens visuais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Actividades</w:t>
            </w:r>
          </w:p>
        </w:tc>
        <w:tc>
          <w:tcPr>
            <w:tcW w:type="dxa" w:w="252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Tarefas autênticas, reflexão e modelo de resposta</w:t>
            </w:r>
          </w:p>
        </w:tc>
        <w:tc>
          <w:tcPr>
            <w:tcW w:type="dxa" w:w="252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Quiz tipado, assignment e revisão</w:t>
            </w:r>
          </w:p>
        </w:tc>
        <w:tc>
          <w:tcPr>
            <w:tcW w:type="dxa" w:w="262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Tipos sem schema funcional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Avaliação</w:t>
            </w:r>
          </w:p>
        </w:tc>
        <w:tc>
          <w:tcPr>
            <w:tcW w:type="dxa" w:w="252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Projectos, quizzes e assignments revistos</w:t>
            </w:r>
          </w:p>
        </w:tc>
        <w:tc>
          <w:tcPr>
            <w:tcW w:type="dxa" w:w="252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Pontos, aprovação, tentativas e feedback</w:t>
            </w:r>
          </w:p>
        </w:tc>
        <w:tc>
          <w:tcPr>
            <w:tcW w:type="dxa" w:w="262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Sliders e conclusão manual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Progressão</w:t>
            </w:r>
          </w:p>
        </w:tc>
        <w:tc>
          <w:tcPr>
            <w:tcW w:type="dxa" w:w="252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Percurso guiado até conclusão</w:t>
            </w:r>
          </w:p>
        </w:tc>
        <w:tc>
          <w:tcPr>
            <w:tcW w:type="dxa" w:w="252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Sequencial, drip e pré-requisitos</w:t>
            </w:r>
          </w:p>
        </w:tc>
        <w:tc>
          <w:tcPr>
            <w:tcW w:type="dxa" w:w="262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Sem regras observáveis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Certificação</w:t>
            </w:r>
          </w:p>
        </w:tc>
        <w:tc>
          <w:tcPr>
            <w:tcW w:type="dxa" w:w="252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Após conclusão do programa</w:t>
            </w:r>
          </w:p>
        </w:tc>
        <w:tc>
          <w:tcPr>
            <w:tcW w:type="dxa" w:w="252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Após concluir conteúdo e critérios</w:t>
            </w:r>
          </w:p>
        </w:tc>
        <w:tc>
          <w:tcPr>
            <w:tcW w:type="dxa" w:w="262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Claim antes da prova; sem emissão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Operação</w:t>
            </w:r>
          </w:p>
        </w:tc>
        <w:tc>
          <w:tcPr>
            <w:tcW w:type="dxa" w:w="252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Experiência de parceiro e aluno</w:t>
            </w:r>
          </w:p>
        </w:tc>
        <w:tc>
          <w:tcPr>
            <w:tcW w:type="dxa" w:w="252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Dashboard do instrutor e analytics</w:t>
            </w:r>
          </w:p>
        </w:tc>
        <w:tc>
          <w:tcPr>
            <w:tcW w:type="dxa" w:w="262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Operações incompletas e dados demo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Padrão mínimo recomendado para uma Experiência PDC</w:t>
      </w:r>
    </w:p>
    <w:p>
      <w:r>
        <w:rPr>
          <w:rFonts w:ascii="Calibri" w:hAnsi="Calibri"/>
          <w:i w:val="0"/>
          <w:color w:val="000000"/>
        </w:rPr>
        <w:t>Em vez de uma página narrativa genérica, a Experiência deve ser um template vocacional executável: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1. Entrada e regras: </w:t>
      </w:r>
      <w:r>
        <w:rPr>
          <w:rFonts w:ascii="Calibri" w:hAnsi="Calibri"/>
          <w:color w:val="000000"/>
        </w:rPr>
        <w:t>objectivo, duração, pré-requisitos, acessibilidade e consentimento.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2. Contexto profissional: </w:t>
      </w:r>
      <w:r>
        <w:rPr>
          <w:rFonts w:ascii="Calibri" w:hAnsi="Calibri"/>
          <w:color w:val="000000"/>
        </w:rPr>
        <w:t>organização, sector, funções e realidade do trabalho.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3. Caso autêntico: </w:t>
      </w:r>
      <w:r>
        <w:rPr>
          <w:rFonts w:ascii="Calibri" w:hAnsi="Calibri"/>
          <w:color w:val="000000"/>
        </w:rPr>
        <w:t>briefing, dados, restrições e critérios de sucesso.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4. Observar: </w:t>
      </w:r>
      <w:r>
        <w:rPr>
          <w:rFonts w:ascii="Calibri" w:hAnsi="Calibri"/>
          <w:color w:val="000000"/>
        </w:rPr>
        <w:t>especialista, demonstração, entrevista ou shadowing.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5. Decidir e construir: </w:t>
      </w:r>
      <w:r>
        <w:rPr>
          <w:rFonts w:ascii="Calibri" w:hAnsi="Calibri"/>
          <w:color w:val="000000"/>
        </w:rPr>
        <w:t>pelo menos duas tarefas autênticas com evidência.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6. Comunicar e defender: </w:t>
      </w:r>
      <w:r>
        <w:rPr>
          <w:rFonts w:ascii="Calibri" w:hAnsi="Calibri"/>
          <w:color w:val="000000"/>
        </w:rPr>
        <w:t>submissão, apresentação, justificação e feedback.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7. Projecto final: </w:t>
      </w:r>
      <w:r>
        <w:rPr>
          <w:rFonts w:ascii="Calibri" w:hAnsi="Calibri"/>
          <w:color w:val="000000"/>
        </w:rPr>
        <w:t>artefacto verificável, rubrica e revisão.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8. Debrief e reflexão: </w:t>
      </w:r>
      <w:r>
        <w:rPr>
          <w:rFonts w:ascii="Calibri" w:hAnsi="Calibri"/>
          <w:color w:val="000000"/>
        </w:rPr>
        <w:t>modelo de resposta, auto-avaliação e ligação ao próximo passo.</w:t>
      </w:r>
    </w:p>
    <w:p>
      <w:pPr>
        <w:pStyle w:val="Heading1"/>
        <w:keepNext/>
        <w:pageBreakBefore/>
      </w:pPr>
      <w:r>
        <w:t>6. Arquitectura de produto recomendada</w:t>
      </w:r>
    </w:p>
    <w:p>
      <w:pPr>
        <w:pStyle w:val="Heading2"/>
        <w:keepNext/>
        <w:pageBreakBefore w:val="0"/>
      </w:pPr>
      <w:r>
        <w:t>6.1 Um Content Studio comum</w:t>
      </w:r>
    </w:p>
    <w:p>
      <w:r>
        <w:rPr>
          <w:rFonts w:ascii="Calibri" w:hAnsi="Calibri"/>
          <w:i w:val="0"/>
          <w:color w:val="000000"/>
        </w:rPr>
        <w:t>Cursos, Experiências, Simulações e Programas devem partilhar um shell consistente, com templates específicos: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Identidade → Estrutura → Actividades → Avaliação → Acesso → Preview → Qualidade/Revisão → Publicação.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Biblioteca de blocos tipados: rich text, vídeo, imagem/galeria, PDF, link, áudio, live, quiz, tarefa, reflexão, checkpoint, download, modelo de resposta e debrief.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Validação por etapa, autosave, versões, duplicação, preview com papel simulado e checklist de qualidade.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Design responsivo e PWA-first; offline apenas para tipos que suportam sincronização segura.</w:t>
      </w:r>
    </w:p>
    <w:p>
      <w:pPr>
        <w:pStyle w:val="Heading2"/>
        <w:keepNext/>
        <w:pageBreakBefore w:val="0"/>
      </w:pPr>
      <w:r>
        <w:t>6.2 Modelo de estado e identidade</w:t>
      </w:r>
    </w:p>
    <w:p>
      <w:r>
        <w:rPr>
          <w:rFonts w:ascii="Calibri" w:hAnsi="Calibri"/>
          <w:i w:val="0"/>
          <w:color w:val="000000"/>
        </w:rPr>
        <w:t>Cada conteúdo mantém um ID imutável. Uma versão editável é separada da versão publicada. O review aponta para um snapshot, nunca para o rascunho vivo.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2400"/>
        <w:gridCol w:w="2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Estado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Quem vê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Edição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Próxima acção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rascunho</w:t>
            </w:r>
          </w:p>
        </w:tc>
        <w:tc>
          <w:tcPr>
            <w:tcW w:type="dxa" w:w="2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Criador/equipa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Livre</w:t>
            </w:r>
          </w:p>
        </w:tc>
        <w:tc>
          <w:tcPr>
            <w:tcW w:type="dxa" w:w="286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Pré-visualizar ou submeter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em revisão</w:t>
            </w:r>
          </w:p>
        </w:tc>
        <w:tc>
          <w:tcPr>
            <w:tcW w:type="dxa" w:w="2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Criador + revisor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Snapshot bloqueado</w:t>
            </w:r>
          </w:p>
        </w:tc>
        <w:tc>
          <w:tcPr>
            <w:tcW w:type="dxa" w:w="286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Aprovar ou pedir alterações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alterações pedidas</w:t>
            </w:r>
          </w:p>
        </w:tc>
        <w:tc>
          <w:tcPr>
            <w:tcW w:type="dxa" w:w="2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Criador/equipa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Nova versão</w:t>
            </w:r>
          </w:p>
        </w:tc>
        <w:tc>
          <w:tcPr>
            <w:tcW w:type="dxa" w:w="286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Responder e reenviar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aprovado</w:t>
            </w:r>
          </w:p>
        </w:tc>
        <w:tc>
          <w:tcPr>
            <w:tcW w:type="dxa" w:w="2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Equipa autorizada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Nova versão separada</w:t>
            </w:r>
          </w:p>
        </w:tc>
        <w:tc>
          <w:tcPr>
            <w:tcW w:type="dxa" w:w="286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Publicar/agendar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publicado</w:t>
            </w:r>
          </w:p>
        </w:tc>
        <w:tc>
          <w:tcPr>
            <w:tcW w:type="dxa" w:w="2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Público-alvo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Versão imutável</w:t>
            </w:r>
          </w:p>
        </w:tc>
        <w:tc>
          <w:tcPr>
            <w:tcW w:type="dxa" w:w="286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Nova revisão ou arquivar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arquivado</w:t>
            </w:r>
          </w:p>
        </w:tc>
        <w:tc>
          <w:tcPr>
            <w:tcW w:type="dxa" w:w="2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Equipa/auditoria</w:t>
            </w:r>
          </w:p>
        </w:tc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Não</w:t>
            </w:r>
          </w:p>
        </w:tc>
        <w:tc>
          <w:tcPr>
            <w:tcW w:type="dxa" w:w="286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Restaurar como nova versão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</w:pPr>
      <w:r>
        <w:t>6.3 Player e prova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Retomar exactamente onde o aluno parou; navegação anterior/próximo; progresso por regra, não por clique.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Submissões com estados: rascunho, enviado, em revisão, alterações pedidas, aprovado.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Feedback por item, rubrica, tentativas e historial; conclusão idempotente e imediata.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Certificado apenas após critérios verificáveis; credential ID, emissor, data, critérios e URL pública de validação.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Recomendação educacional baseada em evidência explícita, sem apresentar probabilidades sintéticas como factos.</w:t>
      </w:r>
    </w:p>
    <w:p>
      <w:pPr>
        <w:pStyle w:val="Heading2"/>
        <w:keepNext/>
        <w:pageBreakBefore w:val="0"/>
      </w:pPr>
      <w:r>
        <w:t>6.4 Operação institucional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Onboarding: criar/verificar organização, perfil público, identidade, privacidade, equipa e segurança.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Papéis: Owner, Admin, Editor, Mentor/Autor, Revisor e Analista com matriz de capacidades.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Estudantes: convite por email/link/código, CSV, grupos/coortes, consentimento e estado de activação.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Analytics: eventos reais, definições de métricas, período, filtros, exportação e estados vazios honestos.</w:t>
      </w:r>
    </w:p>
    <w:p>
      <w:pPr>
        <w:pStyle w:val="Heading1"/>
        <w:keepNext/>
        <w:pageBreakBefore w:val="0"/>
      </w:pPr>
      <w:r>
        <w:t>7. Sequência de correcção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</w:rPr>
        <w:t>Gate A — Conter risco: bloquear consumo de draft/review, remover métricas demonstrativas, corrigir identidade/rotas, atalhos PWA e claims de certificado/aptidão.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</w:rPr>
        <w:t>Gate B — Integridade editorial: ID imutável, versões, máquina de estados, snapshot de revisão, comentários, aprovação e autorização testada por papel.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</w:rPr>
        <w:t>Gate C — Studio funcional: schemas tipados, rich text, Quiz, Tarefa, Simulação, validação, preview e templates de Curso/Experiência.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</w:rPr>
        <w:t>Gate D — Consumo e prova: progresso em tempo real, submissões, feedback, rubricas, conclusão e certificado verificável.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/>
          <w:color w:val="000000"/>
        </w:rPr>
        <w:t>Gate E — Instituições e escala: onboarding, equipa/papéis, estudantes/coortes, 2FA, analytics reais, performance e offline/PWA.</w:t>
      </w:r>
    </w:p>
    <w:p>
      <w:pPr>
        <w:pStyle w:val="Heading2"/>
        <w:keepNext/>
        <w:pageBreakBefore w:val="0"/>
      </w:pPr>
      <w:r>
        <w:t>Ordem de implementação sugerida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Frontend e backend devem partilhar o mesmo contrato de estado, acesso e validação; não corrigir apenas a interface.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Criar testes de contrato para ID/versão e testes E2E com três contas separadas: Instituição, Mentor e Aluno.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Migrar dados demonstrativos para fixtures fora de produção; qualquer demo deve exibir marca d’água “DADOS DE EXEMPLO”.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Instrumentar tempos e eventos antes de optimizar, para que cada release demonstre melhoria real.</w:t>
      </w:r>
    </w:p>
    <w:p>
      <w:pPr>
        <w:pStyle w:val="Heading1"/>
        <w:keepNext/>
        <w:pageBreakBefore/>
      </w:pPr>
      <w:r>
        <w:t>8. Gate de entrada em produção</w:t>
      </w:r>
    </w:p>
    <w:p>
      <w:pPr>
        <w:spacing w:before="120" w:after="200" w:line="264" w:lineRule="auto"/>
        <w:ind w:left="173" w:right="86"/>
        <w:shd w:fill="EAF4EA"/>
        <w:pBdr>
          <w:left w:val="single" w:sz="18" w:space="8" w:color="276738"/>
        </w:pBdr>
      </w:pPr>
      <w:r>
        <w:rPr>
          <w:rFonts w:ascii="Calibri" w:hAnsi="Calibri"/>
          <w:b/>
          <w:color w:val="276738"/>
          <w:sz w:val="20"/>
        </w:rPr>
        <w:t xml:space="preserve">REGRA  </w:t>
      </w:r>
      <w:r>
        <w:rPr>
          <w:rFonts w:ascii="Calibri" w:hAnsi="Calibri"/>
          <w:color w:val="000000"/>
          <w:sz w:val="21"/>
        </w:rPr>
        <w:t>GO apenas quando todos os P0 estiverem fechados, a regressão por papel estiver verde e um piloto assistido completar o percurso sem intervenção técnica.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ID e URL permanecem estáveis em todo o ciclo editorial.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Draft, review e privado não são consumíveis fora de preview autorizado.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Quiz, Tarefa e Simulação produzem avaliação e evidência reais.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Versão em revisão é imutável, auditável e responde a comentários.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Progresso actualiza sem reload e reconcilia após retry/reconexão.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Certificado só existe após critérios aprovados e é verificável.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Relatórios com zero dados mostram zero/estado vazio; nenhum valor sintético aparece como real.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Instituição, Mentor e Aluno têm menus, perfis, rotas e permissões coerentes.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Identidade Visual, Propostas, estudantes e onboarding têm acções completas e erros recuperáveis.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2FA funciona para Owner/Admin e eventos de segurança são auditados.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Atalhos PWA e retorno pós-login funcionam; offline real passa em dispositivos-alvo.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Skeleton &lt;300 ms e conteúdo principal p75 &lt;2,5 s na rede de referência.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Revisão de acessibilidade por teclado, leitor de ecrã, contraste, labels e mensagens concluída.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000000"/>
        </w:rPr>
        <w:t>Cinco criadores externos completam criar → preview → revisão → publicar sem apoio técnico; dez alunos completam consumo → submissão → feedback → certificado.</w:t>
      </w:r>
    </w:p>
    <w:p>
      <w:pPr>
        <w:pStyle w:val="Heading1"/>
        <w:keepNext/>
        <w:pageBreakBefore/>
      </w:pPr>
      <w:r>
        <w:t>9. Evidência de QA e artefacto deixado no sistema</w:t>
      </w:r>
    </w:p>
    <w:p>
      <w:r>
        <w:rPr>
          <w:rFonts w:ascii="Calibri" w:hAnsi="Calibri"/>
          <w:i w:val="0"/>
          <w:color w:val="000000"/>
        </w:rPr>
        <w:t>Foi criado um único curso privado e claramente marcado para validar persistência, revisão e player:</w:t>
      </w:r>
    </w:p>
    <w:p>
      <w:pPr>
        <w:spacing w:before="120" w:after="200" w:line="264" w:lineRule="auto"/>
        <w:ind w:left="173" w:right="86"/>
        <w:shd w:fill="FFF4D6"/>
        <w:pBdr>
          <w:left w:val="single" w:sz="18" w:space="8" w:color="7A5A00"/>
        </w:pBdr>
      </w:pPr>
      <w:r>
        <w:rPr>
          <w:rFonts w:ascii="Calibri" w:hAnsi="Calibri"/>
          <w:b/>
          <w:color w:val="7A5A00"/>
          <w:sz w:val="20"/>
        </w:rPr>
        <w:t xml:space="preserve">CURSO DE QA  </w:t>
      </w:r>
      <w:r>
        <w:rPr>
          <w:rFonts w:ascii="Calibri" w:hAnsi="Calibri"/>
          <w:color w:val="000000"/>
          <w:sz w:val="21"/>
        </w:rPr>
        <w:t>“QA AUDITORIA — RASCUNHO PRIVADO — APAGAR”. Criado como ID 22; após submissão para revisão, apareceu como ID 23. Está pendente e permanece no sistema porque a interface não oferece delete nem cancelar revisão. Não deve ser confundido com conteúdo real.</w:t>
      </w:r>
    </w:p>
    <w:p>
      <w:r>
        <w:rPr>
          <w:rFonts w:ascii="Calibri" w:hAnsi="Calibri"/>
          <w:i w:val="0"/>
          <w:color w:val="000000"/>
        </w:rPr>
        <w:t>O teste não usou dados pessoais. O curso contém um módulo e um item de texto de QA. A conta criadora foi inscrita apenas para validar o player e atingiu 100% após reload.</w:t>
      </w:r>
    </w:p>
    <w:p>
      <w:pPr>
        <w:pStyle w:val="Heading2"/>
        <w:keepNext/>
        <w:pageBreakBefore w:val="0"/>
      </w:pPr>
      <w:r>
        <w:t>Inconsistências observadas neste teste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Observação: </w:t>
      </w:r>
      <w:r>
        <w:rPr>
          <w:rFonts w:ascii="Calibri" w:hAnsi="Calibri"/>
          <w:color w:val="000000"/>
        </w:rPr>
        <w:t>A lista continuou a indicar 0 inscritos apesar da inscrição e conclusão.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Observação: </w:t>
      </w:r>
      <w:r>
        <w:rPr>
          <w:rFonts w:ascii="Calibri" w:hAnsi="Calibri"/>
          <w:color w:val="000000"/>
        </w:rPr>
        <w:t>O detalhe apresentava duração sem valor e enums técnicos como TECNOLOGIA/medio.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Observação: </w:t>
      </w:r>
      <w:r>
        <w:rPr>
          <w:rFonts w:ascii="Calibri" w:hAnsi="Calibri"/>
          <w:color w:val="000000"/>
        </w:rPr>
        <w:t>O toast de guardar rascunho declarou “Curso Materializado” e “impacto no ecossistema disparado”.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Observação: </w:t>
      </w:r>
      <w:r>
        <w:rPr>
          <w:rFonts w:ascii="Calibri" w:hAnsi="Calibri"/>
          <w:color w:val="000000"/>
        </w:rPr>
        <w:t>O conteúdo pendente continuou editável e consumível.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Observação: </w:t>
      </w:r>
      <w:r>
        <w:rPr>
          <w:rFonts w:ascii="Calibri" w:hAnsi="Calibri"/>
          <w:color w:val="000000"/>
        </w:rPr>
        <w:t>O URL do ID 22 deixou de carregar após a submissão para revisão.</w:t>
      </w:r>
    </w:p>
    <w:p>
      <w:pPr>
        <w:pStyle w:val="Heading1"/>
        <w:keepNext/>
        <w:pageBreakBefore/>
      </w:pPr>
      <w:r>
        <w:t>10. Fontes e limites</w:t>
      </w:r>
    </w:p>
    <w:p>
      <w:pPr>
        <w:pStyle w:val="Heading2"/>
        <w:keepNext/>
        <w:pageBreakBefore w:val="0"/>
      </w:pPr>
      <w:r>
        <w:t>Referências oficiais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Springpod — Work Experience Programmes: </w:t>
      </w:r>
      <w:r>
        <w:rPr>
          <w:rFonts w:ascii="Calibri" w:hAnsi="Calibri"/>
          <w:color w:val="000000"/>
        </w:rPr>
        <w:t>https://www.partners.springpod.com/product/work-experience-programmes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Springpod — Virtual Work Experience: </w:t>
      </w:r>
      <w:r>
        <w:rPr>
          <w:rFonts w:ascii="Calibri" w:hAnsi="Calibri"/>
          <w:color w:val="000000"/>
        </w:rPr>
        <w:t>https://www.springpod.com/virtual-work-experience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Tutor LMS — Course Builder: </w:t>
      </w:r>
      <w:r>
        <w:rPr>
          <w:rFonts w:ascii="Calibri" w:hAnsi="Calibri"/>
          <w:color w:val="000000"/>
        </w:rPr>
        <w:t>https://docs.themeum.com/tutor-lms/course-builder/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Tutor LMS — Quiz Builder: </w:t>
      </w:r>
      <w:r>
        <w:rPr>
          <w:rFonts w:ascii="Calibri" w:hAnsi="Calibri"/>
          <w:color w:val="000000"/>
        </w:rPr>
        <w:t>https://docs.themeum.com/tutor-lms/quiz-builder/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Tutor LMS — Mandatory Passing Grade: </w:t>
      </w:r>
      <w:r>
        <w:rPr>
          <w:rFonts w:ascii="Calibri" w:hAnsi="Calibri"/>
          <w:color w:val="000000"/>
        </w:rPr>
        <w:t>https://docs.themeum.com/tutor-lms/mandatory-passing-grade/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Tutor LMS — Certificates: </w:t>
      </w:r>
      <w:r>
        <w:rPr>
          <w:rFonts w:ascii="Calibri" w:hAnsi="Calibri"/>
          <w:color w:val="000000"/>
        </w:rPr>
        <w:t>https://docs.themeum.com/tutor-lms/certificates/</w:t>
      </w:r>
    </w:p>
    <w:p>
      <w:pPr>
        <w:spacing w:after="80"/>
      </w:pPr>
      <w:r>
        <w:rPr>
          <w:rFonts w:ascii="Calibri" w:hAnsi="Calibri"/>
          <w:b/>
          <w:color w:val="0B2545"/>
        </w:rPr>
        <w:t xml:space="preserve">Tutor LMS — Instructor Dashboard: </w:t>
      </w:r>
      <w:r>
        <w:rPr>
          <w:rFonts w:ascii="Calibri" w:hAnsi="Calibri"/>
          <w:color w:val="000000"/>
        </w:rPr>
        <w:t>https://docs.themeum.com/tutor-lms/instructor-dashboard/</w:t>
      </w:r>
    </w:p>
    <w:p>
      <w:pPr>
        <w:pStyle w:val="Heading2"/>
        <w:keepNext/>
        <w:pageBreakBefore w:val="0"/>
      </w:pPr>
      <w:r>
        <w:t>Limites de interpretação</w:t>
      </w:r>
    </w:p>
    <w:p>
      <w:r>
        <w:rPr>
          <w:rFonts w:ascii="Calibri" w:hAnsi="Calibri"/>
          <w:i w:val="0"/>
          <w:color w:val="000000"/>
        </w:rPr>
        <w:t>As conclusões descrevem comportamento observado na interface em 30 de Julho de 2026. Uma função não exposta na UI pode existir no backend; isso não reduz o risco para o utilizador. Da mesma forma, a ausência de um teste de segurança não implica segurança nem vulnerabilidade — essa fase deve ser executada separadamente.</w:t>
      </w:r>
    </w:p>
    <w:p>
      <w:r>
        <w:rPr>
          <w:rFonts w:ascii="Calibri" w:hAnsi="Calibri"/>
          <w:i/>
          <w:color w:val="5B6573"/>
        </w:rPr>
        <w:t>Documento preparado para orientar correcções e critérios de aceitação. Recomenda-se converter os itens PDC-001 a PDC-025 em tickets com owner, estimativa, dependências e evidência de regressão.</w:t>
      </w:r>
    </w:p>
    <w:p>
      <w:pPr>
        <w:pStyle w:val="Heading1"/>
        <w:keepNext/>
        <w:pageBreakBefore/>
      </w:pPr>
      <w:r>
        <w:t>Anexo A — Registo compacto de issues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900"/>
        <w:gridCol w:w="2460"/>
        <w:gridCol w:w="3000"/>
        <w:gridCol w:w="180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Prior.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Área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Owner sugerido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Gate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PDC-001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Course builder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Produto/Eng.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C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PDC-002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Simulation engine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Produto/Eng.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C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PDC-003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Experience blocks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Produto/Eng.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C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PDC-004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ID/versioning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Backend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B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PDC-005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Access control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Backend/QA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A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PDC-006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Review workflow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Produto/Backend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B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PDC-007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Progress sync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Frontend/Backend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D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PDC-008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Reports/data trust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Data/Produto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A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PDC-009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Roles/navigation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Produto/Frontend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A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PDC-010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Institution ops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Full-stack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A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PDC-011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PWA shortcuts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Frontend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A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PDC-012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Performance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Platform/Frontend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E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PDC-013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2FA/security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Platform/Backend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E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PDC-014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P0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Proof/certificate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Produto/Backend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D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PDC-015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Student linking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Produto/Full-stack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E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PDC-016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Editorial lifecycle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Produto/Eng.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B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PDC-017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Pedagogic review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Produto/Eng.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D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PDC-018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Metric consistency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Data/Backend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E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PDC-019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Session CTAs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Frontend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A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PDC-020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Copy/i18n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Produto/Content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E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PDC-021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Accessibility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Frontend/QA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E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PDC-022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Content hygiene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Operations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A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PDC-023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Institution onboarding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Produto/Eng.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E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PDC-024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PWA install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Frontend/Platform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E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PDC-025</w:t>
            </w:r>
          </w:p>
        </w:tc>
        <w:tc>
          <w:tcPr>
            <w:tcW w:type="dxa" w:w="9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P1</w:t>
            </w:r>
          </w:p>
        </w:tc>
        <w:tc>
          <w:tcPr>
            <w:tcW w:type="dxa" w:w="246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Telemetry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Data/Platform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000000"/>
                <w:sz w:val="19"/>
              </w:rPr>
              <w:t>Gate 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8"/>
      </w:rPr>
      <w:t xml:space="preserve">Confidencial  •  30 Jul 2026  •  Página </w:t>
    </w:r>
    <w:r>
      <w:rPr>
        <w:rFonts w:ascii="Calibri" w:hAnsi="Calibri"/>
        <w:color w:val="5B6573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B6573"/>
        <w:sz w:val="18"/>
      </w:rPr>
      <w:t xml:space="preserve">Confidencial  •  30 Jul 2026  •  Página </w:t>
    </w:r>
    <w:r>
      <w:rPr>
        <w:rFonts w:ascii="Calibri" w:hAnsi="Calibri"/>
        <w:color w:val="5B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3"/>
        <w:sz w:val="18"/>
      </w:rPr>
      <w:t>PDC  |  Auditoria funcional autenticada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573"/>
        <w:sz w:val="18"/>
      </w:rPr>
      <w:t>PDC  |  Auditoria funcional autenticada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Profunda do PDC — Fase 1</dc:title>
  <dc:subject>Produto, UX, fluxos autenticados e prontidão de produção</dc:subject>
  <dc:creator>OpenAI</dc:creator>
  <cp:keywords>PDC, auditoria, produto, LMS, Springpod, Tutor LMS, produção</cp:keywords>
  <dc:description>Relatório funcional autenticado, 30 de Julho de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