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F4E79"/>
          <w:sz w:val="24"/>
          <w:szCs w:val="24"/>
        </w:rPr>
        <w:t xml:space="preserve">GOVERNMENT OF INDIA</w:t>
      </w:r>
    </w:p>
    <w:p>
      <w:pPr>
        <w:jc w:val="center"/>
      </w:pPr>
      <w:r>
        <w:rPr>
          <w:rFonts w:ascii="Arial" w:cs="Arial" w:eastAsia="Arial" w:hAnsi="Arial"/>
          <w:b/>
          <w:bCs/>
          <w:sz w:val="22"/>
          <w:szCs w:val="22"/>
        </w:rPr>
        <w:t xml:space="preserve">NATIONAL HIGHWAYS AUTHORITY OF INDIA</w:t>
      </w:r>
    </w:p>
    <w:p>
      <w:pPr>
        <w:spacing w:after="80" w:before="80"/>
      </w:pPr>
      <w:r>
        <w:t xml:space="preserve"/>
      </w:r>
    </w:p>
    <w:p>
      <w:pPr>
        <w:jc w:val="center"/>
      </w:pPr>
      <w:r>
        <w:rPr>
          <w:rFonts w:ascii="Arial" w:cs="Arial" w:eastAsia="Arial" w:hAnsi="Arial"/>
          <w:color w:val="1F4E79"/>
          <w:sz w:val="20"/>
          <w:szCs w:val="20"/>
        </w:rPr>
        <w:t xml:space="preserve">━━━━━━━━━━━━━━━━━━━━━━━━━━━━━━━━━━━━━━━━</w:t>
      </w:r>
    </w:p>
    <w:p>
      <w:pPr>
        <w:spacing w:after="80" w:before="80"/>
      </w:pPr>
      <w:r>
        <w:t xml:space="preserve"/>
      </w:r>
    </w:p>
    <w:p>
      <w:pPr>
        <w:jc w:val="center"/>
      </w:pPr>
      <w:r>
        <w:rPr>
          <w:rFonts w:ascii="Arial" w:cs="Arial" w:eastAsia="Arial" w:hAnsi="Arial"/>
          <w:b/>
          <w:bCs/>
          <w:color w:val="1F4E79"/>
          <w:sz w:val="40"/>
          <w:szCs w:val="40"/>
        </w:rPr>
        <w:t xml:space="preserve">CONTRACT AGREEMENT</w:t>
      </w:r>
    </w:p>
    <w:p>
      <w:pPr>
        <w:jc w:val="center"/>
      </w:pPr>
      <w:r>
        <w:rPr>
          <w:rFonts w:ascii="Arial" w:cs="Arial" w:eastAsia="Arial" w:hAnsi="Arial"/>
          <w:b/>
          <w:bCs/>
          <w:sz w:val="26"/>
          <w:szCs w:val="26"/>
        </w:rPr>
        <w:t xml:space="preserve">Engineering, Procurement &amp; Construction (EPC) Basis</w:t>
      </w:r>
    </w:p>
    <w:p>
      <w:pPr>
        <w:spacing w:after="80" w:before="80"/>
      </w:pPr>
      <w:r>
        <w:t xml:space="preserve"/>
      </w:r>
    </w:p>
    <w:p>
      <w:pPr>
        <w:jc w:val="center"/>
      </w:pPr>
      <w:r>
        <w:rPr>
          <w:rFonts w:ascii="Arial" w:cs="Arial" w:eastAsia="Arial" w:hAnsi="Arial"/>
          <w:color w:val="1F4E79"/>
          <w:sz w:val="20"/>
          <w:szCs w:val="20"/>
        </w:rPr>
        <w:t xml:space="preserve">━━━━━━━━━━━━━━━━━━━━━━━━━━━━━━━━━━━━━━━━</w:t>
      </w:r>
    </w:p>
    <w:p>
      <w:pPr>
        <w:spacing w:after="80" w:before="80"/>
      </w:pPr>
      <w:r>
        <w:t xml:space="preserve"/>
      </w:r>
    </w:p>
    <w:p>
      <w:pPr>
        <w:spacing w:after="80" w:before="80"/>
      </w:pPr>
      <w:r>
        <w:t xml:space="preserve"/>
      </w:r>
    </w:p>
    <w:p>
      <w:pPr>
        <w:jc w:val="center"/>
      </w:pPr>
      <w:r>
        <w:rPr>
          <w:rFonts w:ascii="Arial" w:cs="Arial" w:eastAsia="Arial" w:hAnsi="Arial"/>
          <w:b/>
          <w:bCs/>
          <w:sz w:val="28"/>
          <w:szCs w:val="28"/>
        </w:rPr>
        <w:t xml:space="preserve">4-LANING OF NH-44 FROM KM 220.000 TO KM 260.000</w:t>
      </w:r>
    </w:p>
    <w:p>
      <w:pPr>
        <w:jc w:val="center"/>
      </w:pPr>
      <w:r>
        <w:rPr>
          <w:rFonts w:ascii="Arial" w:cs="Arial" w:eastAsia="Arial" w:hAnsi="Arial"/>
          <w:sz w:val="22"/>
          <w:szCs w:val="22"/>
        </w:rPr>
        <w:t xml:space="preserve">(Package KA-03, Total Length: 40 km)</w:t>
      </w:r>
    </w:p>
    <w:p>
      <w:pPr>
        <w:jc w:val="center"/>
      </w:pPr>
      <w:r>
        <w:rPr>
          <w:rFonts w:ascii="Arial" w:cs="Arial" w:eastAsia="Arial" w:hAnsi="Arial"/>
          <w:sz w:val="22"/>
          <w:szCs w:val="22"/>
        </w:rPr>
        <w:t xml:space="preserve">Karnataka, India</w:t>
      </w:r>
    </w:p>
    <w:p>
      <w:pPr>
        <w:spacing w:after="80" w:before="80"/>
      </w:pPr>
      <w:r>
        <w:t xml:space="preserve"/>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Agreement Number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NHAI/KA/EPC/2025/KA-03</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Contract Value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INR 25,00,00,000 (Twenty-Five Crore)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Contract Type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EPC — NITI Aayog Model Agreement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Contracting Authority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National Highways Authority of India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Contractor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M/s. Horizon Infratech Pvt. Ltd.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Scheduled Const. Period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730 Days (24 months)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Execution Year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2025–2027</w:t>
            </w:r>
          </w:p>
        </w:tc>
      </w:tr>
    </w:tbl>
    <w:p>
      <w:pPr>
        <w:spacing w:after="80" w:before="80"/>
      </w:pPr>
      <w:r>
        <w:t xml:space="preserve"/>
      </w:r>
    </w:p>
    <w:p>
      <w:pPr>
        <w:spacing w:after="80" w:before="80"/>
      </w:pPr>
      <w:r>
        <w:t xml:space="preserve"/>
      </w:r>
    </w:p>
    <w:p>
      <w:r>
        <w:br w:type="page"/>
      </w:r>
    </w:p>
    <w:p>
      <w:pPr>
        <w:pStyle w:val="Heading1"/>
        <w:pBdr>
          <w:bottom w:val="single" w:color="1F4E79" w:sz="4" w:space="4"/>
        </w:pBdr>
        <w:spacing w:after="120" w:before="360"/>
      </w:pPr>
      <w:r>
        <w:rPr>
          <w:rFonts w:ascii="Arial" w:cs="Arial" w:eastAsia="Arial" w:hAnsi="Arial"/>
          <w:b/>
          <w:bCs/>
          <w:sz w:val="28"/>
          <w:szCs w:val="28"/>
        </w:rPr>
        <w:t xml:space="preserve">ARTICLE 1 — DEFINITIONS AND INTERPRETATION</w:t>
      </w:r>
    </w:p>
    <w:p>
      <w:pPr>
        <w:pStyle w:val="Heading2"/>
        <w:spacing w:after="80" w:before="240"/>
      </w:pPr>
      <w:r>
        <w:rPr>
          <w:rFonts w:ascii="Arial" w:cs="Arial" w:eastAsia="Arial" w:hAnsi="Arial"/>
          <w:b/>
          <w:bCs/>
          <w:color w:val="1F4E79"/>
          <w:sz w:val="24"/>
          <w:szCs w:val="24"/>
        </w:rPr>
        <w:t xml:space="preserve">1.1 Definitions</w:t>
      </w:r>
    </w:p>
    <w:p>
      <w:pPr>
        <w:spacing w:after="80" w:before="80"/>
        <w:jc w:val="both"/>
      </w:pPr>
      <w:r>
        <w:rPr>
          <w:rFonts w:ascii="Arial" w:cs="Arial" w:eastAsia="Arial" w:hAnsi="Arial"/>
          <w:sz w:val="20"/>
          <w:szCs w:val="20"/>
        </w:rPr>
        <w:t xml:space="preserve">In this Agreement, the following terms shall have the meanings ascribed to them hereunder:</w:t>
      </w:r>
    </w:p>
    <w:p>
      <w:pPr>
        <w:spacing w:after="80" w:before="80"/>
      </w:pPr>
      <w:r>
        <w:t xml:space="preserve"/>
      </w:r>
    </w:p>
    <w:p>
      <w:pPr>
        <w:spacing w:after="60" w:before="100"/>
        <w:ind w:left="360"/>
        <w:jc w:val="both"/>
      </w:pPr>
      <w:r>
        <w:rPr>
          <w:rFonts w:ascii="Arial" w:cs="Arial" w:eastAsia="Arial" w:hAnsi="Arial"/>
          <w:b/>
          <w:bCs/>
          <w:sz w:val="20"/>
          <w:szCs w:val="20"/>
        </w:rPr>
        <w:t xml:space="preserve">1.1.1   </w:t>
      </w:r>
      <w:r>
        <w:rPr>
          <w:rFonts w:ascii="Arial" w:cs="Arial" w:eastAsia="Arial" w:hAnsi="Arial"/>
          <w:b w:val="false"/>
          <w:bCs w:val="false"/>
          <w:sz w:val="20"/>
          <w:szCs w:val="20"/>
        </w:rPr>
        <w:t xml:space="preserve">"Agreement" means this Engineering, Procurement and Construction Contract Agreement together with all Schedules, Annexures, and documents incorporated herein by reference.</w:t>
      </w:r>
    </w:p>
    <w:p>
      <w:pPr>
        <w:spacing w:after="60" w:before="100"/>
        <w:ind w:left="360"/>
        <w:jc w:val="both"/>
      </w:pPr>
      <w:r>
        <w:rPr>
          <w:rFonts w:ascii="Arial" w:cs="Arial" w:eastAsia="Arial" w:hAnsi="Arial"/>
          <w:b/>
          <w:bCs/>
          <w:sz w:val="20"/>
          <w:szCs w:val="20"/>
        </w:rPr>
        <w:t xml:space="preserve">1.1.2   </w:t>
      </w:r>
      <w:r>
        <w:rPr>
          <w:rFonts w:ascii="Arial" w:cs="Arial" w:eastAsia="Arial" w:hAnsi="Arial"/>
          <w:b w:val="false"/>
          <w:bCs w:val="false"/>
          <w:sz w:val="20"/>
          <w:szCs w:val="20"/>
        </w:rPr>
        <w:t xml:space="preserve">"Appointed Date" means the date on which the Authority issues a written notice to the Contractor confirming fulfillment of all Conditions Precedent, from which date the Scheduled Construction Period commences.</w:t>
      </w:r>
    </w:p>
    <w:p>
      <w:pPr>
        <w:spacing w:after="60" w:before="100"/>
        <w:ind w:left="360"/>
        <w:jc w:val="both"/>
      </w:pPr>
      <w:r>
        <w:rPr>
          <w:rFonts w:ascii="Arial" w:cs="Arial" w:eastAsia="Arial" w:hAnsi="Arial"/>
          <w:b/>
          <w:bCs/>
          <w:sz w:val="20"/>
          <w:szCs w:val="20"/>
        </w:rPr>
        <w:t xml:space="preserve">1.1.3   </w:t>
      </w:r>
      <w:r>
        <w:rPr>
          <w:rFonts w:ascii="Arial" w:cs="Arial" w:eastAsia="Arial" w:hAnsi="Arial"/>
          <w:b w:val="false"/>
          <w:bCs w:val="false"/>
          <w:sz w:val="20"/>
          <w:szCs w:val="20"/>
        </w:rPr>
        <w:t xml:space="preserve">"Authority" means the National Highways Authority of India (NHAI), a statutory body constituted under the National Highways Authority of India Act, 1988.</w:t>
      </w:r>
    </w:p>
    <w:p>
      <w:pPr>
        <w:spacing w:after="60" w:before="100"/>
        <w:ind w:left="360"/>
        <w:jc w:val="both"/>
      </w:pPr>
      <w:r>
        <w:rPr>
          <w:rFonts w:ascii="Arial" w:cs="Arial" w:eastAsia="Arial" w:hAnsi="Arial"/>
          <w:b/>
          <w:bCs/>
          <w:sz w:val="20"/>
          <w:szCs w:val="20"/>
        </w:rPr>
        <w:t xml:space="preserve">1.1.4   </w:t>
      </w:r>
      <w:r>
        <w:rPr>
          <w:rFonts w:ascii="Arial" w:cs="Arial" w:eastAsia="Arial" w:hAnsi="Arial"/>
          <w:b w:val="false"/>
          <w:bCs w:val="false"/>
          <w:sz w:val="20"/>
          <w:szCs w:val="20"/>
        </w:rPr>
        <w:t xml:space="preserve">"Authority's Engineer" means the independent engineer appointed by the Authority under Article 20 to supervise and certify the execution of the Project.</w:t>
      </w:r>
    </w:p>
    <w:p>
      <w:pPr>
        <w:spacing w:after="60" w:before="100"/>
        <w:ind w:left="360"/>
        <w:jc w:val="both"/>
      </w:pPr>
      <w:r>
        <w:rPr>
          <w:rFonts w:ascii="Arial" w:cs="Arial" w:eastAsia="Arial" w:hAnsi="Arial"/>
          <w:b/>
          <w:bCs/>
          <w:sz w:val="20"/>
          <w:szCs w:val="20"/>
        </w:rPr>
        <w:t xml:space="preserve">1.1.5   </w:t>
      </w:r>
      <w:r>
        <w:rPr>
          <w:rFonts w:ascii="Arial" w:cs="Arial" w:eastAsia="Arial" w:hAnsi="Arial"/>
          <w:b w:val="false"/>
          <w:bCs w:val="false"/>
          <w:sz w:val="20"/>
          <w:szCs w:val="20"/>
        </w:rPr>
        <w:t xml:space="preserve">"Contract Price" means INR 25,00,00,000 (Twenty-Five Crore Only) as the lump sum price payable to the Contractor for full and complete execution of the Project.</w:t>
      </w:r>
    </w:p>
    <w:p>
      <w:pPr>
        <w:spacing w:after="60" w:before="100"/>
        <w:ind w:left="360"/>
        <w:jc w:val="both"/>
      </w:pPr>
      <w:r>
        <w:rPr>
          <w:rFonts w:ascii="Arial" w:cs="Arial" w:eastAsia="Arial" w:hAnsi="Arial"/>
          <w:b/>
          <w:bCs/>
          <w:sz w:val="20"/>
          <w:szCs w:val="20"/>
        </w:rPr>
        <w:t xml:space="preserve">1.1.6   </w:t>
      </w:r>
      <w:r>
        <w:rPr>
          <w:rFonts w:ascii="Arial" w:cs="Arial" w:eastAsia="Arial" w:hAnsi="Arial"/>
          <w:b w:val="false"/>
          <w:bCs w:val="false"/>
          <w:sz w:val="20"/>
          <w:szCs w:val="20"/>
        </w:rPr>
        <w:t xml:space="preserve">"Contractor" means M/s. Horizon Infratech Pvt. Ltd., its successors and permitted assigns.</w:t>
      </w:r>
    </w:p>
    <w:p>
      <w:pPr>
        <w:spacing w:after="60" w:before="100"/>
        <w:ind w:left="360"/>
        <w:jc w:val="both"/>
      </w:pPr>
      <w:r>
        <w:rPr>
          <w:rFonts w:ascii="Arial" w:cs="Arial" w:eastAsia="Arial" w:hAnsi="Arial"/>
          <w:b/>
          <w:bCs/>
          <w:sz w:val="20"/>
          <w:szCs w:val="20"/>
        </w:rPr>
        <w:t xml:space="preserve">1.1.7   </w:t>
      </w:r>
      <w:r>
        <w:rPr>
          <w:rFonts w:ascii="Arial" w:cs="Arial" w:eastAsia="Arial" w:hAnsi="Arial"/>
          <w:b w:val="false"/>
          <w:bCs w:val="false"/>
          <w:sz w:val="20"/>
          <w:szCs w:val="20"/>
        </w:rPr>
        <w:t xml:space="preserve">"Defects Liability Period" means the period of 5 (five) years commencing from the date of issue of the Completion Certificate.</w:t>
      </w:r>
    </w:p>
    <w:p>
      <w:pPr>
        <w:spacing w:after="60" w:before="100"/>
        <w:ind w:left="360"/>
        <w:jc w:val="both"/>
      </w:pPr>
      <w:r>
        <w:rPr>
          <w:rFonts w:ascii="Arial" w:cs="Arial" w:eastAsia="Arial" w:hAnsi="Arial"/>
          <w:b/>
          <w:bCs/>
          <w:sz w:val="20"/>
          <w:szCs w:val="20"/>
        </w:rPr>
        <w:t xml:space="preserve">1.1.8   </w:t>
      </w:r>
      <w:r>
        <w:rPr>
          <w:rFonts w:ascii="Arial" w:cs="Arial" w:eastAsia="Arial" w:hAnsi="Arial"/>
          <w:b w:val="false"/>
          <w:bCs w:val="false"/>
          <w:sz w:val="20"/>
          <w:szCs w:val="20"/>
        </w:rPr>
        <w:t xml:space="preserve">"Force Majeure Event" has the meaning ascribed in Article 19.</w:t>
      </w:r>
    </w:p>
    <w:p>
      <w:pPr>
        <w:spacing w:after="60" w:before="100"/>
        <w:ind w:left="360"/>
        <w:jc w:val="both"/>
      </w:pPr>
      <w:r>
        <w:rPr>
          <w:rFonts w:ascii="Arial" w:cs="Arial" w:eastAsia="Arial" w:hAnsi="Arial"/>
          <w:b/>
          <w:bCs/>
          <w:sz w:val="20"/>
          <w:szCs w:val="20"/>
        </w:rPr>
        <w:t xml:space="preserve">1.1.9   </w:t>
      </w:r>
      <w:r>
        <w:rPr>
          <w:rFonts w:ascii="Arial" w:cs="Arial" w:eastAsia="Arial" w:hAnsi="Arial"/>
          <w:b w:val="false"/>
          <w:bCs w:val="false"/>
          <w:sz w:val="20"/>
          <w:szCs w:val="20"/>
        </w:rPr>
        <w:t xml:space="preserve">"Good Industry Practice" means the exercise of that degree of skill, care, prudence, efficiency, foresight and timeliness as would be expected from a leading contractor in India experienced in works of the type, scope and complexity of the Project.</w:t>
      </w:r>
    </w:p>
    <w:p>
      <w:pPr>
        <w:spacing w:after="60" w:before="100"/>
        <w:ind w:left="360"/>
        <w:jc w:val="both"/>
      </w:pPr>
      <w:r>
        <w:rPr>
          <w:rFonts w:ascii="Arial" w:cs="Arial" w:eastAsia="Arial" w:hAnsi="Arial"/>
          <w:b/>
          <w:bCs/>
          <w:sz w:val="20"/>
          <w:szCs w:val="20"/>
        </w:rPr>
        <w:t xml:space="preserve">1.1.10   </w:t>
      </w:r>
      <w:r>
        <w:rPr>
          <w:rFonts w:ascii="Arial" w:cs="Arial" w:eastAsia="Arial" w:hAnsi="Arial"/>
          <w:b w:val="false"/>
          <w:bCs w:val="false"/>
          <w:sz w:val="20"/>
          <w:szCs w:val="20"/>
        </w:rPr>
        <w:t xml:space="preserve">"Liquidated Damages" means the amounts payable by the Contractor to the Authority as compensation for delay in achievement of Project Milestones or the Scheduled Completion Date, as specified in Article 10.</w:t>
      </w:r>
    </w:p>
    <w:p>
      <w:pPr>
        <w:spacing w:after="60" w:before="100"/>
        <w:ind w:left="360"/>
        <w:jc w:val="both"/>
      </w:pPr>
      <w:r>
        <w:rPr>
          <w:rFonts w:ascii="Arial" w:cs="Arial" w:eastAsia="Arial" w:hAnsi="Arial"/>
          <w:b/>
          <w:bCs/>
          <w:sz w:val="20"/>
          <w:szCs w:val="20"/>
        </w:rPr>
        <w:t xml:space="preserve">1.1.11   </w:t>
      </w:r>
      <w:r>
        <w:rPr>
          <w:rFonts w:ascii="Arial" w:cs="Arial" w:eastAsia="Arial" w:hAnsi="Arial"/>
          <w:b w:val="false"/>
          <w:bCs w:val="false"/>
          <w:sz w:val="20"/>
          <w:szCs w:val="20"/>
        </w:rPr>
        <w:t xml:space="preserve">"Performance Security" means the security deposit required under Article 7 of this Agreement.</w:t>
      </w:r>
    </w:p>
    <w:p>
      <w:pPr>
        <w:spacing w:after="60" w:before="100"/>
        <w:ind w:left="360"/>
        <w:jc w:val="both"/>
      </w:pPr>
      <w:r>
        <w:rPr>
          <w:rFonts w:ascii="Arial" w:cs="Arial" w:eastAsia="Arial" w:hAnsi="Arial"/>
          <w:b/>
          <w:bCs/>
          <w:sz w:val="20"/>
          <w:szCs w:val="20"/>
        </w:rPr>
        <w:t xml:space="preserve">1.1.12   </w:t>
      </w:r>
      <w:r>
        <w:rPr>
          <w:rFonts w:ascii="Arial" w:cs="Arial" w:eastAsia="Arial" w:hAnsi="Arial"/>
          <w:b w:val="false"/>
          <w:bCs w:val="false"/>
          <w:sz w:val="20"/>
          <w:szCs w:val="20"/>
        </w:rPr>
        <w:t xml:space="preserve">"Project" means the 4-laning of NH-44 from Km 220.000 to Km 260.000 (40 km) in the State of Karnataka, including all bridges, structures, drainage, road furniture, and ancillary works.</w:t>
      </w:r>
    </w:p>
    <w:p>
      <w:pPr>
        <w:spacing w:after="60" w:before="100"/>
        <w:ind w:left="360"/>
        <w:jc w:val="both"/>
      </w:pPr>
      <w:r>
        <w:rPr>
          <w:rFonts w:ascii="Arial" w:cs="Arial" w:eastAsia="Arial" w:hAnsi="Arial"/>
          <w:b/>
          <w:bCs/>
          <w:sz w:val="20"/>
          <w:szCs w:val="20"/>
        </w:rPr>
        <w:t xml:space="preserve">1.1.13   </w:t>
      </w:r>
      <w:r>
        <w:rPr>
          <w:rFonts w:ascii="Arial" w:cs="Arial" w:eastAsia="Arial" w:hAnsi="Arial"/>
          <w:b w:val="false"/>
          <w:bCs w:val="false"/>
          <w:sz w:val="20"/>
          <w:szCs w:val="20"/>
        </w:rPr>
        <w:t xml:space="preserve">"Scheduled Completion Date" means the date falling 730 days after the Appointed Date, as may be extended pursuant to this Agreement.</w:t>
      </w:r>
    </w:p>
    <w:p>
      <w:pPr>
        <w:spacing w:after="60" w:before="100"/>
        <w:ind w:left="360"/>
        <w:jc w:val="both"/>
      </w:pPr>
      <w:r>
        <w:rPr>
          <w:rFonts w:ascii="Arial" w:cs="Arial" w:eastAsia="Arial" w:hAnsi="Arial"/>
          <w:b/>
          <w:bCs/>
          <w:sz w:val="20"/>
          <w:szCs w:val="20"/>
        </w:rPr>
        <w:t xml:space="preserve">1.1.14   </w:t>
      </w:r>
      <w:r>
        <w:rPr>
          <w:rFonts w:ascii="Arial" w:cs="Arial" w:eastAsia="Arial" w:hAnsi="Arial"/>
          <w:b w:val="false"/>
          <w:bCs w:val="false"/>
          <w:sz w:val="20"/>
          <w:szCs w:val="20"/>
        </w:rPr>
        <w:t xml:space="preserve">"Scheduled Construction Period" means 730 days from the Appointed Date to the Scheduled Completion Date.</w:t>
      </w:r>
    </w:p>
    <w:p>
      <w:pPr>
        <w:spacing w:after="80" w:before="80"/>
      </w:pPr>
      <w:r>
        <w:t xml:space="preserve"/>
      </w:r>
    </w:p>
    <w:p>
      <w:pPr>
        <w:pStyle w:val="Heading1"/>
        <w:pBdr>
          <w:bottom w:val="single" w:color="1F4E79" w:sz="4" w:space="4"/>
        </w:pBdr>
        <w:spacing w:after="120" w:before="360"/>
      </w:pPr>
      <w:r>
        <w:rPr>
          <w:rFonts w:ascii="Arial" w:cs="Arial" w:eastAsia="Arial" w:hAnsi="Arial"/>
          <w:b/>
          <w:bCs/>
          <w:sz w:val="28"/>
          <w:szCs w:val="28"/>
        </w:rPr>
        <w:t xml:space="preserve">ARTICLE 2 — CONDITIONS PRECEDENT</w:t>
      </w:r>
    </w:p>
    <w:p>
      <w:pPr>
        <w:pStyle w:val="Heading2"/>
        <w:spacing w:after="80" w:before="240"/>
      </w:pPr>
      <w:r>
        <w:rPr>
          <w:rFonts w:ascii="Arial" w:cs="Arial" w:eastAsia="Arial" w:hAnsi="Arial"/>
          <w:b/>
          <w:bCs/>
          <w:color w:val="1F4E79"/>
          <w:sz w:val="24"/>
          <w:szCs w:val="24"/>
        </w:rPr>
        <w:t xml:space="preserve">2.1 Conditions Precedent to Appointed Date</w:t>
      </w:r>
    </w:p>
    <w:p>
      <w:pPr>
        <w:spacing w:after="80" w:before="80"/>
        <w:jc w:val="both"/>
      </w:pPr>
      <w:r>
        <w:rPr>
          <w:rFonts w:ascii="Arial" w:cs="Arial" w:eastAsia="Arial" w:hAnsi="Arial"/>
          <w:sz w:val="20"/>
          <w:szCs w:val="20"/>
        </w:rPr>
        <w:t xml:space="preserve">The Appointed Date shall not occur until all of the following Conditions Precedent have been satisfied or waived in writing by the relevant party:</w:t>
      </w:r>
    </w:p>
    <w:p>
      <w:pPr>
        <w:spacing w:after="80" w:before="80"/>
      </w:pPr>
      <w:r>
        <w:t xml:space="preserve"/>
      </w:r>
    </w:p>
    <w:p>
      <w:pPr>
        <w:spacing w:after="60" w:before="100"/>
        <w:ind w:left="360"/>
        <w:jc w:val="both"/>
      </w:pPr>
      <w:r>
        <w:rPr>
          <w:rFonts w:ascii="Arial" w:cs="Arial" w:eastAsia="Arial" w:hAnsi="Arial"/>
          <w:b/>
          <w:bCs/>
          <w:sz w:val="20"/>
          <w:szCs w:val="20"/>
        </w:rPr>
        <w:t xml:space="preserve">2.1.1   </w:t>
      </w:r>
      <w:r>
        <w:rPr>
          <w:rFonts w:ascii="Arial" w:cs="Arial" w:eastAsia="Arial" w:hAnsi="Arial"/>
          <w:b w:val="false"/>
          <w:bCs w:val="false"/>
          <w:sz w:val="20"/>
          <w:szCs w:val="20"/>
        </w:rPr>
        <w:t xml:space="preserve">AUTHORITY CONDITIONS PRECEDENT (to be fulfilled by the Authority):</w:t>
      </w:r>
    </w:p>
    <w:p>
      <w:pPr>
        <w:spacing w:after="60" w:before="100"/>
        <w:ind w:left="360"/>
        <w:jc w:val="both"/>
      </w:pPr>
      <w:r>
        <w:rPr>
          <w:rFonts w:ascii="Arial" w:cs="Arial" w:eastAsia="Arial" w:hAnsi="Arial"/>
          <w:b/>
          <w:bCs/>
          <w:sz w:val="20"/>
          <w:szCs w:val="20"/>
        </w:rPr>
        <w:t xml:space="preserve">(a)   </w:t>
      </w:r>
      <w:r>
        <w:rPr>
          <w:rFonts w:ascii="Arial" w:cs="Arial" w:eastAsia="Arial" w:hAnsi="Arial"/>
          <w:b w:val="false"/>
          <w:bCs w:val="false"/>
          <w:sz w:val="20"/>
          <w:szCs w:val="20"/>
        </w:rPr>
        <w:t xml:space="preserve">Handing over at least 80% (32 km) of the total Right of Way (40 km) free from all encumbrances, measured in continuous sections of not less than 5 km each.</w:t>
      </w:r>
    </w:p>
    <w:p>
      <w:pPr>
        <w:spacing w:after="60" w:before="100"/>
        <w:ind w:left="360"/>
        <w:jc w:val="both"/>
      </w:pPr>
      <w:r>
        <w:rPr>
          <w:rFonts w:ascii="Arial" w:cs="Arial" w:eastAsia="Arial" w:hAnsi="Arial"/>
          <w:b/>
          <w:bCs/>
          <w:sz w:val="20"/>
          <w:szCs w:val="20"/>
        </w:rPr>
        <w:t xml:space="preserve">(b)   </w:t>
      </w:r>
      <w:r>
        <w:rPr>
          <w:rFonts w:ascii="Arial" w:cs="Arial" w:eastAsia="Arial" w:hAnsi="Arial"/>
          <w:b w:val="false"/>
          <w:bCs w:val="false"/>
          <w:sz w:val="20"/>
          <w:szCs w:val="20"/>
        </w:rPr>
        <w:t xml:space="preserve">Obtaining all forest and environment clearances from the Ministry of Environment, Forest and Climate Change (MoEFCC) for the entire project stretch.</w:t>
      </w:r>
    </w:p>
    <w:p>
      <w:pPr>
        <w:spacing w:after="60" w:before="100"/>
        <w:ind w:left="360"/>
        <w:jc w:val="both"/>
      </w:pPr>
      <w:r>
        <w:rPr>
          <w:rFonts w:ascii="Arial" w:cs="Arial" w:eastAsia="Arial" w:hAnsi="Arial"/>
          <w:b/>
          <w:bCs/>
          <w:sz w:val="20"/>
          <w:szCs w:val="20"/>
        </w:rPr>
        <w:t xml:space="preserve">(c)   </w:t>
      </w:r>
      <w:r>
        <w:rPr>
          <w:rFonts w:ascii="Arial" w:cs="Arial" w:eastAsia="Arial" w:hAnsi="Arial"/>
          <w:b w:val="false"/>
          <w:bCs w:val="false"/>
          <w:sz w:val="20"/>
          <w:szCs w:val="20"/>
        </w:rPr>
        <w:t xml:space="preserve">Obtaining General Arrangement Drawings (GAD) approval from the Railway Authorities for all Rail Over Bridge (ROB) / Rail Under Bridge (RUB) locations (3 locations on this project).</w:t>
      </w:r>
    </w:p>
    <w:p>
      <w:pPr>
        <w:spacing w:after="60" w:before="100"/>
        <w:ind w:left="360"/>
        <w:jc w:val="both"/>
      </w:pPr>
      <w:r>
        <w:rPr>
          <w:rFonts w:ascii="Arial" w:cs="Arial" w:eastAsia="Arial" w:hAnsi="Arial"/>
          <w:b/>
          <w:bCs/>
          <w:sz w:val="20"/>
          <w:szCs w:val="20"/>
        </w:rPr>
        <w:t xml:space="preserve">(d)   </w:t>
      </w:r>
      <w:r>
        <w:rPr>
          <w:rFonts w:ascii="Arial" w:cs="Arial" w:eastAsia="Arial" w:hAnsi="Arial"/>
          <w:b w:val="false"/>
          <w:bCs w:val="false"/>
          <w:sz w:val="20"/>
          <w:szCs w:val="20"/>
        </w:rPr>
        <w:t xml:space="preserve">Issuance of the Letter of Acceptance (LoA) confirming mobilisation advance of 10% of the Contract Price (INR 2,50,00,000) to be paid within 15 days of Appointed Date.</w:t>
      </w:r>
    </w:p>
    <w:p>
      <w:pPr>
        <w:spacing w:after="80" w:before="80"/>
      </w:pPr>
      <w:r>
        <w:t xml:space="preserve"/>
      </w:r>
    </w:p>
    <w:p>
      <w:pPr>
        <w:spacing w:after="60" w:before="100"/>
        <w:ind w:left="360"/>
        <w:jc w:val="both"/>
      </w:pPr>
      <w:r>
        <w:rPr>
          <w:rFonts w:ascii="Arial" w:cs="Arial" w:eastAsia="Arial" w:hAnsi="Arial"/>
          <w:b/>
          <w:bCs/>
          <w:sz w:val="20"/>
          <w:szCs w:val="20"/>
        </w:rPr>
        <w:t xml:space="preserve">2.1.2   </w:t>
      </w:r>
      <w:r>
        <w:rPr>
          <w:rFonts w:ascii="Arial" w:cs="Arial" w:eastAsia="Arial" w:hAnsi="Arial"/>
          <w:b w:val="false"/>
          <w:bCs w:val="false"/>
          <w:sz w:val="20"/>
          <w:szCs w:val="20"/>
        </w:rPr>
        <w:t xml:space="preserve">CONTRACTOR CONDITIONS PRECEDENT (to be fulfilled by the Contractor within 15 days of LoA):</w:t>
      </w:r>
    </w:p>
    <w:p>
      <w:pPr>
        <w:spacing w:after="60" w:before="100"/>
        <w:ind w:left="360"/>
        <w:jc w:val="both"/>
      </w:pPr>
      <w:r>
        <w:rPr>
          <w:rFonts w:ascii="Arial" w:cs="Arial" w:eastAsia="Arial" w:hAnsi="Arial"/>
          <w:b/>
          <w:bCs/>
          <w:sz w:val="20"/>
          <w:szCs w:val="20"/>
        </w:rPr>
        <w:t xml:space="preserve">(a)   </w:t>
      </w:r>
      <w:r>
        <w:rPr>
          <w:rFonts w:ascii="Arial" w:cs="Arial" w:eastAsia="Arial" w:hAnsi="Arial"/>
          <w:b w:val="false"/>
          <w:bCs w:val="false"/>
          <w:sz w:val="20"/>
          <w:szCs w:val="20"/>
        </w:rPr>
        <w:t xml:space="preserve">Submission of Performance Security equal to 5% of the Contract Price (INR 1,25,00,000) in the form of a Bank Guarantee from a scheduled bank.</w:t>
      </w:r>
    </w:p>
    <w:p>
      <w:pPr>
        <w:spacing w:after="60" w:before="100"/>
        <w:ind w:left="360"/>
        <w:jc w:val="both"/>
      </w:pPr>
      <w:r>
        <w:rPr>
          <w:rFonts w:ascii="Arial" w:cs="Arial" w:eastAsia="Arial" w:hAnsi="Arial"/>
          <w:b/>
          <w:bCs/>
          <w:sz w:val="20"/>
          <w:szCs w:val="20"/>
        </w:rPr>
        <w:t xml:space="preserve">(b)   </w:t>
      </w:r>
      <w:r>
        <w:rPr>
          <w:rFonts w:ascii="Arial" w:cs="Arial" w:eastAsia="Arial" w:hAnsi="Arial"/>
          <w:b w:val="false"/>
          <w:bCs w:val="false"/>
          <w:sz w:val="20"/>
          <w:szCs w:val="20"/>
        </w:rPr>
        <w:t xml:space="preserve">Submission of insurance policies as specified in Article 8.</w:t>
      </w:r>
    </w:p>
    <w:p>
      <w:pPr>
        <w:spacing w:after="60" w:before="100"/>
        <w:ind w:left="360"/>
        <w:jc w:val="both"/>
      </w:pPr>
      <w:r>
        <w:rPr>
          <w:rFonts w:ascii="Arial" w:cs="Arial" w:eastAsia="Arial" w:hAnsi="Arial"/>
          <w:b/>
          <w:bCs/>
          <w:sz w:val="20"/>
          <w:szCs w:val="20"/>
        </w:rPr>
        <w:t xml:space="preserve">(c)   </w:t>
      </w:r>
      <w:r>
        <w:rPr>
          <w:rFonts w:ascii="Arial" w:cs="Arial" w:eastAsia="Arial" w:hAnsi="Arial"/>
          <w:b w:val="false"/>
          <w:bCs w:val="false"/>
          <w:sz w:val="20"/>
          <w:szCs w:val="20"/>
        </w:rPr>
        <w:t xml:space="preserve">Submission of the Construction Programme (baseline schedule) in the form specified in Schedule 4.</w:t>
      </w:r>
    </w:p>
    <w:p>
      <w:pPr>
        <w:spacing w:after="80" w:before="80"/>
      </w:pPr>
      <w:r>
        <w:t xml:space="preserve"/>
      </w:r>
    </w:p>
    <w:p>
      <w:pPr>
        <w:pStyle w:val="Heading1"/>
        <w:pBdr>
          <w:bottom w:val="single" w:color="1F4E79" w:sz="4" w:space="4"/>
        </w:pBdr>
        <w:spacing w:after="120" w:before="360"/>
      </w:pPr>
      <w:r>
        <w:rPr>
          <w:rFonts w:ascii="Arial" w:cs="Arial" w:eastAsia="Arial" w:hAnsi="Arial"/>
          <w:b/>
          <w:bCs/>
          <w:sz w:val="28"/>
          <w:szCs w:val="28"/>
        </w:rPr>
        <w:t xml:space="preserve">ARTICLE 7 — PERFORMANCE SECURITY</w:t>
      </w:r>
    </w:p>
    <w:p>
      <w:pPr>
        <w:spacing w:after="60" w:before="100"/>
        <w:ind w:left="360"/>
        <w:jc w:val="both"/>
      </w:pPr>
      <w:r>
        <w:rPr>
          <w:rFonts w:ascii="Arial" w:cs="Arial" w:eastAsia="Arial" w:hAnsi="Arial"/>
          <w:b/>
          <w:bCs/>
          <w:sz w:val="20"/>
          <w:szCs w:val="20"/>
        </w:rPr>
        <w:t xml:space="preserve">7.1   </w:t>
      </w:r>
      <w:r>
        <w:rPr>
          <w:rFonts w:ascii="Arial" w:cs="Arial" w:eastAsia="Arial" w:hAnsi="Arial"/>
          <w:b w:val="false"/>
          <w:bCs w:val="false"/>
          <w:sz w:val="20"/>
          <w:szCs w:val="20"/>
        </w:rPr>
        <w:t xml:space="preserve">The Contractor shall, within 15 (fifteen) days of receipt of the Letter of Acceptance, deposit a Performance Security of INR 1,25,00,000 (One Crore Twenty-Five Lakhs Only), being 5% of the Contract Price.</w:t>
      </w:r>
    </w:p>
    <w:p>
      <w:pPr>
        <w:spacing w:after="60" w:before="100"/>
        <w:ind w:left="360"/>
        <w:jc w:val="both"/>
      </w:pPr>
      <w:r>
        <w:rPr>
          <w:rFonts w:ascii="Arial" w:cs="Arial" w:eastAsia="Arial" w:hAnsi="Arial"/>
          <w:b/>
          <w:bCs/>
          <w:sz w:val="20"/>
          <w:szCs w:val="20"/>
        </w:rPr>
        <w:t xml:space="preserve">7.2   </w:t>
      </w:r>
      <w:r>
        <w:rPr>
          <w:rFonts w:ascii="Arial" w:cs="Arial" w:eastAsia="Arial" w:hAnsi="Arial"/>
          <w:b w:val="false"/>
          <w:bCs w:val="false"/>
          <w:sz w:val="20"/>
          <w:szCs w:val="20"/>
        </w:rPr>
        <w:t xml:space="preserve">The Performance Security shall be in the form of an unconditional and irrevocable Bank Guarantee from a Scheduled Commercial Bank in India, substantially in the form set out in Schedule 6.</w:t>
      </w:r>
    </w:p>
    <w:p>
      <w:pPr>
        <w:spacing w:after="60" w:before="100"/>
        <w:ind w:left="360"/>
        <w:jc w:val="both"/>
      </w:pPr>
      <w:r>
        <w:rPr>
          <w:rFonts w:ascii="Arial" w:cs="Arial" w:eastAsia="Arial" w:hAnsi="Arial"/>
          <w:b/>
          <w:bCs/>
          <w:sz w:val="20"/>
          <w:szCs w:val="20"/>
        </w:rPr>
        <w:t xml:space="preserve">7.3   </w:t>
      </w:r>
      <w:r>
        <w:rPr>
          <w:rFonts w:ascii="Arial" w:cs="Arial" w:eastAsia="Arial" w:hAnsi="Arial"/>
          <w:b w:val="false"/>
          <w:bCs w:val="false"/>
          <w:sz w:val="20"/>
          <w:szCs w:val="20"/>
        </w:rPr>
        <w:t xml:space="preserve">If the Contractor fails to submit the Performance Security within the stipulated 15 days, a late submission fee of 0.1% of the Performance Security amount per day of delay shall be levied. The Authority may grant a maximum extension of 15 additional days (i.e., up to Day 30 from LoA). Failure to submit by Day 30 shall result in cancellation of the Letter of Acceptance and forfeiture of the Earnest Money Deposit (EMD).</w:t>
      </w:r>
    </w:p>
    <w:p>
      <w:pPr>
        <w:spacing w:after="60" w:before="100"/>
        <w:ind w:left="360"/>
        <w:jc w:val="both"/>
      </w:pPr>
      <w:r>
        <w:rPr>
          <w:rFonts w:ascii="Arial" w:cs="Arial" w:eastAsia="Arial" w:hAnsi="Arial"/>
          <w:b/>
          <w:bCs/>
          <w:sz w:val="20"/>
          <w:szCs w:val="20"/>
        </w:rPr>
        <w:t xml:space="preserve">7.4   </w:t>
      </w:r>
      <w:r>
        <w:rPr>
          <w:rFonts w:ascii="Arial" w:cs="Arial" w:eastAsia="Arial" w:hAnsi="Arial"/>
          <w:b w:val="false"/>
          <w:bCs w:val="false"/>
          <w:sz w:val="20"/>
          <w:szCs w:val="20"/>
        </w:rPr>
        <w:t xml:space="preserve">The Performance Security shall remain valid until 60 days after the expiry of the Defects Liability Period. The Contractor shall replenish the Performance Security within 15 days of any encashment by the Authority, failing which the Authority may encash the remaining Security and suspend further payments.</w:t>
      </w:r>
    </w:p>
    <w:p>
      <w:pPr>
        <w:spacing w:after="60" w:before="100"/>
        <w:ind w:left="360"/>
        <w:jc w:val="both"/>
      </w:pPr>
      <w:r>
        <w:rPr>
          <w:rFonts w:ascii="Arial" w:cs="Arial" w:eastAsia="Arial" w:hAnsi="Arial"/>
          <w:b/>
          <w:bCs/>
          <w:sz w:val="20"/>
          <w:szCs w:val="20"/>
        </w:rPr>
        <w:t xml:space="preserve">7.5   </w:t>
      </w:r>
      <w:r>
        <w:rPr>
          <w:rFonts w:ascii="Arial" w:cs="Arial" w:eastAsia="Arial" w:hAnsi="Arial"/>
          <w:b w:val="false"/>
          <w:bCs w:val="false"/>
          <w:sz w:val="20"/>
          <w:szCs w:val="20"/>
        </w:rPr>
        <w:t xml:space="preserve">The Performance Security shall be released within 60 days of the expiry of the Defects Liability Period, provided no outstanding claims exist.</w:t>
      </w:r>
    </w:p>
    <w:p>
      <w:pPr>
        <w:spacing w:after="80" w:before="80"/>
      </w:pPr>
      <w:r>
        <w:t xml:space="preserve"/>
      </w:r>
    </w:p>
    <w:p>
      <w:pPr>
        <w:pStyle w:val="Heading1"/>
        <w:pBdr>
          <w:bottom w:val="single" w:color="1F4E79" w:sz="4" w:space="4"/>
        </w:pBdr>
        <w:spacing w:after="120" w:before="360"/>
      </w:pPr>
      <w:r>
        <w:rPr>
          <w:rFonts w:ascii="Arial" w:cs="Arial" w:eastAsia="Arial" w:hAnsi="Arial"/>
          <w:b/>
          <w:bCs/>
          <w:sz w:val="28"/>
          <w:szCs w:val="28"/>
        </w:rPr>
        <w:t xml:space="preserve">ARTICLE 10 — SCHEDULED CONSTRUCTION PERIOD AND PROJECT MILESTONES</w:t>
      </w:r>
    </w:p>
    <w:p>
      <w:pPr>
        <w:pStyle w:val="Heading2"/>
        <w:spacing w:after="80" w:before="240"/>
      </w:pPr>
      <w:r>
        <w:rPr>
          <w:rFonts w:ascii="Arial" w:cs="Arial" w:eastAsia="Arial" w:hAnsi="Arial"/>
          <w:b/>
          <w:bCs/>
          <w:color w:val="1F4E79"/>
          <w:sz w:val="24"/>
          <w:szCs w:val="24"/>
        </w:rPr>
        <w:t xml:space="preserve">10.1 Commencement</w:t>
      </w:r>
    </w:p>
    <w:p>
      <w:pPr>
        <w:spacing w:after="60" w:before="100"/>
        <w:ind w:left="360"/>
        <w:jc w:val="both"/>
      </w:pPr>
      <w:r>
        <w:rPr>
          <w:rFonts w:ascii="Arial" w:cs="Arial" w:eastAsia="Arial" w:hAnsi="Arial"/>
          <w:b/>
          <w:bCs/>
          <w:sz w:val="20"/>
          <w:szCs w:val="20"/>
        </w:rPr>
        <w:t xml:space="preserve">10.1.1   </w:t>
      </w:r>
      <w:r>
        <w:rPr>
          <w:rFonts w:ascii="Arial" w:cs="Arial" w:eastAsia="Arial" w:hAnsi="Arial"/>
          <w:b w:val="false"/>
          <w:bCs w:val="false"/>
          <w:sz w:val="20"/>
          <w:szCs w:val="20"/>
        </w:rPr>
        <w:t xml:space="preserve">The Contractor shall commence construction work within 30 days of the Appointed Date and shall complete the Project on or before the Scheduled Completion Date.</w:t>
      </w:r>
    </w:p>
    <w:p>
      <w:pPr>
        <w:pStyle w:val="Heading2"/>
        <w:spacing w:after="80" w:before="240"/>
      </w:pPr>
      <w:r>
        <w:rPr>
          <w:rFonts w:ascii="Arial" w:cs="Arial" w:eastAsia="Arial" w:hAnsi="Arial"/>
          <w:b/>
          <w:bCs/>
          <w:color w:val="1F4E79"/>
          <w:sz w:val="24"/>
          <w:szCs w:val="24"/>
        </w:rPr>
        <w:t xml:space="preserve">10.2 Project Milestones</w:t>
      </w:r>
    </w:p>
    <w:p>
      <w:pPr>
        <w:spacing w:after="60" w:before="100"/>
        <w:ind w:left="360"/>
        <w:jc w:val="both"/>
      </w:pPr>
      <w:r>
        <w:rPr>
          <w:rFonts w:ascii="Arial" w:cs="Arial" w:eastAsia="Arial" w:hAnsi="Arial"/>
          <w:b/>
          <w:bCs/>
          <w:sz w:val="20"/>
          <w:szCs w:val="20"/>
        </w:rPr>
        <w:t xml:space="preserve">10.2.1   </w:t>
      </w:r>
      <w:r>
        <w:rPr>
          <w:rFonts w:ascii="Arial" w:cs="Arial" w:eastAsia="Arial" w:hAnsi="Arial"/>
          <w:b w:val="false"/>
          <w:bCs w:val="false"/>
          <w:sz w:val="20"/>
          <w:szCs w:val="20"/>
        </w:rPr>
        <w:t xml:space="preserve">The Contractor shall achieve the following Project Milestones, the dates for which are calculated from the Appointed Date: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600"/>
        <w:gridCol w:w="18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Milestone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of SCP</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No.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 Progress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M-1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Project Milestone-I: Completion of earthwork, pile foundations, and sub-base for 30% of project 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Day 204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20%</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M-2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Project Milestone-II: Completion of base course, major bridge substructures, and service roads for 55% of project 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Day 401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50%</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M-3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Project Milestone-III: Completion of wearing course, bridge superstructures, road furniture, and markings for 80% of project 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Day 547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75%</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SCD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Scheduled Completion Date: Full project completion including trial run, punch list, and snag clearance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Day 730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100%</w:t>
            </w:r>
          </w:p>
        </w:tc>
      </w:tr>
    </w:tbl>
    <w:p>
      <w:pPr>
        <w:spacing w:after="80" w:before="80"/>
      </w:pPr>
      <w:r>
        <w:t xml:space="preserve"/>
      </w:r>
    </w:p>
    <w:p>
      <w:pPr>
        <w:pStyle w:val="Heading2"/>
        <w:spacing w:after="80" w:before="240"/>
      </w:pPr>
      <w:r>
        <w:rPr>
          <w:rFonts w:ascii="Arial" w:cs="Arial" w:eastAsia="Arial" w:hAnsi="Arial"/>
          <w:b/>
          <w:bCs/>
          <w:color w:val="1F4E79"/>
          <w:sz w:val="24"/>
          <w:szCs w:val="24"/>
        </w:rPr>
        <w:t xml:space="preserve">10.3 Liquidated Damages for Delay</w:t>
      </w:r>
    </w:p>
    <w:p>
      <w:pPr>
        <w:spacing w:after="60" w:before="100"/>
        <w:ind w:left="360"/>
        <w:jc w:val="both"/>
      </w:pPr>
      <w:r>
        <w:rPr>
          <w:rFonts w:ascii="Arial" w:cs="Arial" w:eastAsia="Arial" w:hAnsi="Arial"/>
          <w:b/>
          <w:bCs/>
          <w:sz w:val="20"/>
          <w:szCs w:val="20"/>
        </w:rPr>
        <w:t xml:space="preserve">10.3.1   </w:t>
      </w:r>
      <w:r>
        <w:rPr>
          <w:rFonts w:ascii="Arial" w:cs="Arial" w:eastAsia="Arial" w:hAnsi="Arial"/>
          <w:b w:val="false"/>
          <w:bCs w:val="false"/>
          <w:sz w:val="20"/>
          <w:szCs w:val="20"/>
        </w:rPr>
        <w:t xml:space="preserve">If the Contractor fails to achieve any Project Milestone by the stipulated date, the Authority shall be entitled to recover Liquidated Damages at the rate of 0.05% (zero point zero five percent) of the Contract Price per day of delay in achievement of such Milestone. The LD for each interim milestone (M-1, M-2, M-3) shall be calculated on the apportioned milestone value (i.e., the portion of the Contract Price attributable to the scope up to that milestone).</w:t>
      </w:r>
    </w:p>
    <w:p>
      <w:pPr>
        <w:spacing w:after="60" w:before="100"/>
        <w:ind w:left="360"/>
        <w:jc w:val="both"/>
      </w:pPr>
      <w:r>
        <w:rPr>
          <w:rFonts w:ascii="Arial" w:cs="Arial" w:eastAsia="Arial" w:hAnsi="Arial"/>
          <w:b/>
          <w:bCs/>
          <w:sz w:val="20"/>
          <w:szCs w:val="20"/>
        </w:rPr>
        <w:t xml:space="preserve">10.3.2   </w:t>
      </w:r>
      <w:r>
        <w:rPr>
          <w:rFonts w:ascii="Arial" w:cs="Arial" w:eastAsia="Arial" w:hAnsi="Arial"/>
          <w:b w:val="false"/>
          <w:bCs w:val="false"/>
          <w:sz w:val="20"/>
          <w:szCs w:val="20"/>
        </w:rPr>
        <w:t xml:space="preserve">The maximum aggregate Liquidated Damages payable by the Contractor shall not exceed 10% (ten percent) of the Contract Price, i.e., INR 2,50,00,000 (Two Crore Fifty Lakhs Only). Upon exhaustion of this cap, the Authority shall be entitled to issue a Notice of Default under Article 23.1.1.</w:t>
      </w:r>
    </w:p>
    <w:p>
      <w:pPr>
        <w:spacing w:after="60" w:before="100"/>
        <w:ind w:left="360"/>
        <w:jc w:val="both"/>
      </w:pPr>
      <w:r>
        <w:rPr>
          <w:rFonts w:ascii="Arial" w:cs="Arial" w:eastAsia="Arial" w:hAnsi="Arial"/>
          <w:b/>
          <w:bCs/>
          <w:sz w:val="20"/>
          <w:szCs w:val="20"/>
        </w:rPr>
        <w:t xml:space="preserve">10.3.3   </w:t>
      </w:r>
      <w:r>
        <w:rPr>
          <w:rFonts w:ascii="Arial" w:cs="Arial" w:eastAsia="Arial" w:hAnsi="Arial"/>
          <w:b w:val="false"/>
          <w:bCs w:val="false"/>
          <w:sz w:val="20"/>
          <w:szCs w:val="20"/>
        </w:rPr>
        <w:t xml:space="preserve">Catch-Up Refund: Notwithstanding Article 10.3.1, if the Contractor, having missed one or more interim Project Milestones, successfully achieves the Scheduled Completion Date (or the revised Scheduled Completion Date after a validly granted Extension of Time), the Authority shall refund to the Contractor, without interest, all Liquidated Damages that were deducted in respect of the missed interim Milestones. This refund shall be processed within 30 days of the issue of the Completion Certificate.</w:t>
      </w:r>
    </w:p>
    <w:p>
      <w:pPr>
        <w:spacing w:after="60" w:before="100"/>
        <w:ind w:left="360"/>
        <w:jc w:val="both"/>
      </w:pPr>
      <w:r>
        <w:rPr>
          <w:rFonts w:ascii="Arial" w:cs="Arial" w:eastAsia="Arial" w:hAnsi="Arial"/>
          <w:b/>
          <w:bCs/>
          <w:sz w:val="20"/>
          <w:szCs w:val="20"/>
        </w:rPr>
        <w:t xml:space="preserve">10.3.4   </w:t>
      </w:r>
      <w:r>
        <w:rPr>
          <w:rFonts w:ascii="Arial" w:cs="Arial" w:eastAsia="Arial" w:hAnsi="Arial"/>
          <w:b w:val="false"/>
          <w:bCs w:val="false"/>
          <w:sz w:val="20"/>
          <w:szCs w:val="20"/>
        </w:rPr>
        <w:t xml:space="preserve">The levy of Liquidated Damages shall not relieve the Contractor from its obligation to complete the Project nor from any other obligations, duties, or responsibilities under this Agreement.</w:t>
      </w:r>
    </w:p>
    <w:p>
      <w:pPr>
        <w:spacing w:after="80" w:before="80"/>
      </w:pPr>
      <w:r>
        <w:t xml:space="preserve"/>
      </w:r>
    </w:p>
    <w:p>
      <w:pPr>
        <w:pStyle w:val="Heading1"/>
        <w:pBdr>
          <w:bottom w:val="single" w:color="1F4E79" w:sz="4" w:space="4"/>
        </w:pBdr>
        <w:spacing w:after="120" w:before="360"/>
      </w:pPr>
      <w:r>
        <w:rPr>
          <w:rFonts w:ascii="Arial" w:cs="Arial" w:eastAsia="Arial" w:hAnsi="Arial"/>
          <w:b/>
          <w:bCs/>
          <w:sz w:val="28"/>
          <w:szCs w:val="28"/>
        </w:rPr>
        <w:t xml:space="preserve">ARTICLE 11 — QUALITY ASSURANCE AND CONTROL</w:t>
      </w:r>
    </w:p>
    <w:p>
      <w:pPr>
        <w:spacing w:after="60" w:before="100"/>
        <w:ind w:left="360"/>
        <w:jc w:val="both"/>
      </w:pPr>
      <w:r>
        <w:rPr>
          <w:rFonts w:ascii="Arial" w:cs="Arial" w:eastAsia="Arial" w:hAnsi="Arial"/>
          <w:b/>
          <w:bCs/>
          <w:sz w:val="20"/>
          <w:szCs w:val="20"/>
        </w:rPr>
        <w:t xml:space="preserve">11.1   </w:t>
      </w:r>
      <w:r>
        <w:rPr>
          <w:rFonts w:ascii="Arial" w:cs="Arial" w:eastAsia="Arial" w:hAnsi="Arial"/>
          <w:b w:val="false"/>
          <w:bCs w:val="false"/>
          <w:sz w:val="20"/>
          <w:szCs w:val="20"/>
        </w:rPr>
        <w:t xml:space="preserve">The Contractor shall establish and maintain a Quality Management System (QMS) in accordance with IS/ISO 9001 throughout the Scheduled Construction Period. The QMS shall include field testing laboratories equipped to the standards specified in Schedule 7.</w:t>
      </w:r>
    </w:p>
    <w:p>
      <w:pPr>
        <w:spacing w:after="60" w:before="100"/>
        <w:ind w:left="360"/>
        <w:jc w:val="both"/>
      </w:pPr>
      <w:r>
        <w:rPr>
          <w:rFonts w:ascii="Arial" w:cs="Arial" w:eastAsia="Arial" w:hAnsi="Arial"/>
          <w:b/>
          <w:bCs/>
          <w:sz w:val="20"/>
          <w:szCs w:val="20"/>
        </w:rPr>
        <w:t xml:space="preserve">11.2   </w:t>
      </w:r>
      <w:r>
        <w:rPr>
          <w:rFonts w:ascii="Arial" w:cs="Arial" w:eastAsia="Arial" w:hAnsi="Arial"/>
          <w:b w:val="false"/>
          <w:bCs w:val="false"/>
          <w:sz w:val="20"/>
          <w:szCs w:val="20"/>
        </w:rPr>
        <w:t xml:space="preserve">The Contractor's Quality Control Team shall conduct all mandatory material and workmanship tests as specified in the Ministry of Road Transport and Highways (MoRTH) Specifications for Road and Bridge Works (5th Revision) and IRC codes. Mandatory tests include but are not limited to:</w:t>
      </w:r>
    </w:p>
    <w:p>
      <w:pPr>
        <w:spacing w:after="60" w:before="100"/>
        <w:ind w:left="360"/>
        <w:jc w:val="both"/>
      </w:pPr>
      <w:r>
        <w:rPr>
          <w:rFonts w:ascii="Arial" w:cs="Arial" w:eastAsia="Arial" w:hAnsi="Arial"/>
          <w:b/>
          <w:bCs/>
          <w:sz w:val="20"/>
          <w:szCs w:val="20"/>
        </w:rPr>
        <w:t xml:space="preserve">(a)   </w:t>
      </w:r>
      <w:r>
        <w:rPr>
          <w:rFonts w:ascii="Arial" w:cs="Arial" w:eastAsia="Arial" w:hAnsi="Arial"/>
          <w:b w:val="false"/>
          <w:bCs w:val="false"/>
          <w:sz w:val="20"/>
          <w:szCs w:val="20"/>
        </w:rPr>
        <w:t xml:space="preserve">Concrete: Slump test (every batch), cube strength at 7 days and 28 days (1 sample per 1–5 cum), temperature and water-cement ratio checks.</w:t>
      </w:r>
    </w:p>
    <w:p>
      <w:pPr>
        <w:spacing w:after="60" w:before="100"/>
        <w:ind w:left="360"/>
        <w:jc w:val="both"/>
      </w:pPr>
      <w:r>
        <w:rPr>
          <w:rFonts w:ascii="Arial" w:cs="Arial" w:eastAsia="Arial" w:hAnsi="Arial"/>
          <w:b/>
          <w:bCs/>
          <w:sz w:val="20"/>
          <w:szCs w:val="20"/>
        </w:rPr>
        <w:t xml:space="preserve">(b)   </w:t>
      </w:r>
      <w:r>
        <w:rPr>
          <w:rFonts w:ascii="Arial" w:cs="Arial" w:eastAsia="Arial" w:hAnsi="Arial"/>
          <w:b w:val="false"/>
          <w:bCs w:val="false"/>
          <w:sz w:val="20"/>
          <w:szCs w:val="20"/>
        </w:rPr>
        <w:t xml:space="preserve">Granular Subbase and Base Course: Field density test at a minimum of 1 per 3,000 sqm per compacted layer, gradation analysis, CBR tests.</w:t>
      </w:r>
    </w:p>
    <w:p>
      <w:pPr>
        <w:spacing w:after="60" w:before="100"/>
        <w:ind w:left="360"/>
        <w:jc w:val="both"/>
      </w:pPr>
      <w:r>
        <w:rPr>
          <w:rFonts w:ascii="Arial" w:cs="Arial" w:eastAsia="Arial" w:hAnsi="Arial"/>
          <w:b/>
          <w:bCs/>
          <w:sz w:val="20"/>
          <w:szCs w:val="20"/>
        </w:rPr>
        <w:t xml:space="preserve">(c)   </w:t>
      </w:r>
      <w:r>
        <w:rPr>
          <w:rFonts w:ascii="Arial" w:cs="Arial" w:eastAsia="Arial" w:hAnsi="Arial"/>
          <w:b w:val="false"/>
          <w:bCs w:val="false"/>
          <w:sz w:val="20"/>
          <w:szCs w:val="20"/>
        </w:rPr>
        <w:t xml:space="preserve">Bituminous Works: Binder content and gradation (bitumen extraction test, 1 per 400 tonnes), Marshall stability test, core density tests post-compaction.</w:t>
      </w:r>
    </w:p>
    <w:p>
      <w:pPr>
        <w:spacing w:after="60" w:before="100"/>
        <w:ind w:left="360"/>
        <w:jc w:val="both"/>
      </w:pPr>
      <w:r>
        <w:rPr>
          <w:rFonts w:ascii="Arial" w:cs="Arial" w:eastAsia="Arial" w:hAnsi="Arial"/>
          <w:b/>
          <w:bCs/>
          <w:sz w:val="20"/>
          <w:szCs w:val="20"/>
        </w:rPr>
        <w:t xml:space="preserve">(d)   </w:t>
      </w:r>
      <w:r>
        <w:rPr>
          <w:rFonts w:ascii="Arial" w:cs="Arial" w:eastAsia="Arial" w:hAnsi="Arial"/>
          <w:b w:val="false"/>
          <w:bCs w:val="false"/>
          <w:sz w:val="20"/>
          <w:szCs w:val="20"/>
        </w:rPr>
        <w:t xml:space="preserve">Pile Foundations: Pile load tests (1 per 100 piles or minimum 2 per bridge), integrity tests, concrete cube tests.</w:t>
      </w:r>
    </w:p>
    <w:p>
      <w:pPr>
        <w:spacing w:after="60" w:before="100"/>
        <w:ind w:left="360"/>
        <w:jc w:val="both"/>
      </w:pPr>
      <w:r>
        <w:rPr>
          <w:rFonts w:ascii="Arial" w:cs="Arial" w:eastAsia="Arial" w:hAnsi="Arial"/>
          <w:b/>
          <w:bCs/>
          <w:sz w:val="20"/>
          <w:szCs w:val="20"/>
        </w:rPr>
        <w:t xml:space="preserve">11.3   </w:t>
      </w:r>
      <w:r>
        <w:rPr>
          <w:rFonts w:ascii="Arial" w:cs="Arial" w:eastAsia="Arial" w:hAnsi="Arial"/>
          <w:b w:val="false"/>
          <w:bCs w:val="false"/>
          <w:sz w:val="20"/>
          <w:szCs w:val="20"/>
        </w:rPr>
        <w:t xml:space="preserve">The Authority's Engineer shall check a minimum of 50% of all tests conducted by the Contractor. In the event of any discrepancy between Contractor and Authority's Engineer test results, the results of independent third-party testing shall be conclusive.</w:t>
      </w:r>
    </w:p>
    <w:p>
      <w:pPr>
        <w:spacing w:after="60" w:before="100"/>
        <w:ind w:left="360"/>
        <w:jc w:val="both"/>
      </w:pPr>
      <w:r>
        <w:rPr>
          <w:rFonts w:ascii="Arial" w:cs="Arial" w:eastAsia="Arial" w:hAnsi="Arial"/>
          <w:b/>
          <w:bCs/>
          <w:sz w:val="20"/>
          <w:szCs w:val="20"/>
        </w:rPr>
        <w:t xml:space="preserve">11.14   </w:t>
      </w:r>
      <w:r>
        <w:rPr>
          <w:rFonts w:ascii="Arial" w:cs="Arial" w:eastAsia="Arial" w:hAnsi="Arial"/>
          <w:b w:val="false"/>
          <w:bCs w:val="false"/>
          <w:sz w:val="20"/>
          <w:szCs w:val="20"/>
        </w:rPr>
        <w:t xml:space="preserve">Non-Conformance Reports (NCRs): Upon identification of any non-conformance, the Authority's Engineer shall issue a Non-Conformance Report (NCR). The Contractor shall rectify the non-conformance within the time specified in the NCR. If the Contractor fails to rectify within the specified time, the Authority may arrange rectification at the Contractor's cost and risk. Payment for the non-conforming works shall be withheld until the NCR is closed.</w:t>
      </w:r>
    </w:p>
    <w:p>
      <w:pPr>
        <w:spacing w:after="80" w:before="80"/>
      </w:pPr>
      <w:r>
        <w:t xml:space="preserve"/>
      </w:r>
    </w:p>
    <w:p>
      <w:pPr>
        <w:pStyle w:val="Heading1"/>
        <w:pBdr>
          <w:bottom w:val="single" w:color="1F4E79" w:sz="4" w:space="4"/>
        </w:pBdr>
        <w:spacing w:after="120" w:before="360"/>
      </w:pPr>
      <w:r>
        <w:rPr>
          <w:rFonts w:ascii="Arial" w:cs="Arial" w:eastAsia="Arial" w:hAnsi="Arial"/>
          <w:b/>
          <w:bCs/>
          <w:sz w:val="28"/>
          <w:szCs w:val="28"/>
        </w:rPr>
        <w:t xml:space="preserve">ARTICLE 13 — VARIATIONS AND CHANGE ORDERS</w:t>
      </w:r>
    </w:p>
    <w:p>
      <w:pPr>
        <w:spacing w:after="60" w:before="100"/>
        <w:ind w:left="360"/>
        <w:jc w:val="both"/>
      </w:pPr>
      <w:r>
        <w:rPr>
          <w:rFonts w:ascii="Arial" w:cs="Arial" w:eastAsia="Arial" w:hAnsi="Arial"/>
          <w:b/>
          <w:bCs/>
          <w:sz w:val="20"/>
          <w:szCs w:val="20"/>
        </w:rPr>
        <w:t xml:space="preserve">13.1   </w:t>
      </w:r>
      <w:r>
        <w:rPr>
          <w:rFonts w:ascii="Arial" w:cs="Arial" w:eastAsia="Arial" w:hAnsi="Arial"/>
          <w:b w:val="false"/>
          <w:bCs w:val="false"/>
          <w:sz w:val="20"/>
          <w:szCs w:val="20"/>
        </w:rPr>
        <w:t xml:space="preserve">The Authority may, at any time during the Scheduled Construction Period, issue a Variation Order requiring changes to the scope, quality, or quantum of the Works. The Contractor shall not be entitled to refuse execution of any Variation Order.</w:t>
      </w:r>
    </w:p>
    <w:p>
      <w:pPr>
        <w:spacing w:after="60" w:before="100"/>
        <w:ind w:left="360"/>
        <w:jc w:val="both"/>
      </w:pPr>
      <w:r>
        <w:rPr>
          <w:rFonts w:ascii="Arial" w:cs="Arial" w:eastAsia="Arial" w:hAnsi="Arial"/>
          <w:b/>
          <w:bCs/>
          <w:sz w:val="20"/>
          <w:szCs w:val="20"/>
        </w:rPr>
        <w:t xml:space="preserve">13.2   </w:t>
      </w:r>
      <w:r>
        <w:rPr>
          <w:rFonts w:ascii="Arial" w:cs="Arial" w:eastAsia="Arial" w:hAnsi="Arial"/>
          <w:b w:val="false"/>
          <w:bCs w:val="false"/>
          <w:sz w:val="20"/>
          <w:szCs w:val="20"/>
        </w:rPr>
        <w:t xml:space="preserve">Variations shall be valued at the rates specified in the priced Bill of Quantities. For new items of work not covered in the BoQ, rates shall be derived from the applicable District Schedule of Rates (DSR) plus the tender premium or discount applied at bid. Where DSR rates are not available, the rate shall be the actual market cost plus 15% overhead and profit.</w:t>
      </w:r>
    </w:p>
    <w:p>
      <w:pPr>
        <w:spacing w:after="60" w:before="100"/>
        <w:ind w:left="360"/>
        <w:jc w:val="both"/>
      </w:pPr>
      <w:r>
        <w:rPr>
          <w:rFonts w:ascii="Arial" w:cs="Arial" w:eastAsia="Arial" w:hAnsi="Arial"/>
          <w:b/>
          <w:bCs/>
          <w:sz w:val="20"/>
          <w:szCs w:val="20"/>
        </w:rPr>
        <w:t xml:space="preserve">13.3   </w:t>
      </w:r>
      <w:r>
        <w:rPr>
          <w:rFonts w:ascii="Arial" w:cs="Arial" w:eastAsia="Arial" w:hAnsi="Arial"/>
          <w:b w:val="false"/>
          <w:bCs w:val="false"/>
          <w:sz w:val="20"/>
          <w:szCs w:val="20"/>
        </w:rPr>
        <w:t xml:space="preserve">The Contractor shall submit a claim for additional cost or Extension of Time arising from a Variation Order within 14 (fourteen) days of receiving the Variation Order. Claims not raised within 14 days shall be deemed waived.</w:t>
      </w:r>
    </w:p>
    <w:p>
      <w:pPr>
        <w:spacing w:after="60" w:before="100"/>
        <w:ind w:left="360"/>
        <w:jc w:val="both"/>
      </w:pPr>
      <w:r>
        <w:rPr>
          <w:rFonts w:ascii="Arial" w:cs="Arial" w:eastAsia="Arial" w:hAnsi="Arial"/>
          <w:b/>
          <w:bCs/>
          <w:sz w:val="20"/>
          <w:szCs w:val="20"/>
        </w:rPr>
        <w:t xml:space="preserve">13.4   </w:t>
      </w:r>
      <w:r>
        <w:rPr>
          <w:rFonts w:ascii="Arial" w:cs="Arial" w:eastAsia="Arial" w:hAnsi="Arial"/>
          <w:b w:val="false"/>
          <w:bCs w:val="false"/>
          <w:sz w:val="20"/>
          <w:szCs w:val="20"/>
        </w:rPr>
        <w:t xml:space="preserve">The total value of all Variations shall not exceed 10% of the Contract Price without the prior written consent of the Contractor and approval of the Authority's competent authority.</w:t>
      </w:r>
    </w:p>
    <w:p>
      <w:pPr>
        <w:spacing w:after="80" w:before="80"/>
      </w:pPr>
      <w:r>
        <w:t xml:space="preserve"/>
      </w:r>
    </w:p>
    <w:p>
      <w:pPr>
        <w:pStyle w:val="Heading1"/>
        <w:pBdr>
          <w:bottom w:val="single" w:color="1F4E79" w:sz="4" w:space="4"/>
        </w:pBdr>
        <w:spacing w:after="120" w:before="360"/>
      </w:pPr>
      <w:r>
        <w:rPr>
          <w:rFonts w:ascii="Arial" w:cs="Arial" w:eastAsia="Arial" w:hAnsi="Arial"/>
          <w:b/>
          <w:bCs/>
          <w:sz w:val="28"/>
          <w:szCs w:val="28"/>
        </w:rPr>
        <w:t xml:space="preserve">ARTICLE 19 — FORCE MAJEURE</w:t>
      </w:r>
    </w:p>
    <w:p>
      <w:pPr>
        <w:pStyle w:val="Heading2"/>
        <w:spacing w:after="80" w:before="240"/>
      </w:pPr>
      <w:r>
        <w:rPr>
          <w:rFonts w:ascii="Arial" w:cs="Arial" w:eastAsia="Arial" w:hAnsi="Arial"/>
          <w:b/>
          <w:bCs/>
          <w:color w:val="1F4E79"/>
          <w:sz w:val="24"/>
          <w:szCs w:val="24"/>
        </w:rPr>
        <w:t xml:space="preserve">19.1 Definition of Force Majeure</w:t>
      </w:r>
    </w:p>
    <w:p>
      <w:pPr>
        <w:spacing w:after="60" w:before="100"/>
        <w:ind w:left="360"/>
        <w:jc w:val="both"/>
      </w:pPr>
      <w:r>
        <w:rPr>
          <w:rFonts w:ascii="Arial" w:cs="Arial" w:eastAsia="Arial" w:hAnsi="Arial"/>
          <w:b/>
          <w:bCs/>
          <w:sz w:val="20"/>
          <w:szCs w:val="20"/>
        </w:rPr>
        <w:t xml:space="preserve">19.1.1   </w:t>
      </w:r>
      <w:r>
        <w:rPr>
          <w:rFonts w:ascii="Arial" w:cs="Arial" w:eastAsia="Arial" w:hAnsi="Arial"/>
          <w:b w:val="false"/>
          <w:bCs w:val="false"/>
          <w:sz w:val="20"/>
          <w:szCs w:val="20"/>
        </w:rPr>
        <w:t xml:space="preserve">"Force Majeure Event" means any event or circumstance or combination of events or circumstances that is beyond the reasonable control of the Affected Party, prevents or delays the performance of obligations under this Agreement, and could not have been prevented by the exercise of Good Industry Practice. Force Majeure Events are classified as:</w:t>
      </w:r>
    </w:p>
    <w:p>
      <w:pPr>
        <w:spacing w:after="60" w:before="100"/>
        <w:ind w:left="360"/>
        <w:jc w:val="both"/>
      </w:pPr>
      <w:r>
        <w:rPr>
          <w:rFonts w:ascii="Arial" w:cs="Arial" w:eastAsia="Arial" w:hAnsi="Arial"/>
          <w:b/>
          <w:bCs/>
          <w:sz w:val="20"/>
          <w:szCs w:val="20"/>
        </w:rPr>
        <w:t xml:space="preserve">(a)   </w:t>
      </w:r>
      <w:r>
        <w:rPr>
          <w:rFonts w:ascii="Arial" w:cs="Arial" w:eastAsia="Arial" w:hAnsi="Arial"/>
          <w:b w:val="false"/>
          <w:bCs w:val="false"/>
          <w:sz w:val="20"/>
          <w:szCs w:val="20"/>
        </w:rPr>
        <w:t xml:space="preserve">Non-Political Events: Lightning, earthquake, flood, cyclone, tsunami, landslide, or other natural calamity; epidemic or quarantine restriction affecting the Site; fire or explosion not attributable to the Contractor's acts.</w:t>
      </w:r>
    </w:p>
    <w:p>
      <w:pPr>
        <w:spacing w:after="60" w:before="100"/>
        <w:ind w:left="360"/>
        <w:jc w:val="both"/>
      </w:pPr>
      <w:r>
        <w:rPr>
          <w:rFonts w:ascii="Arial" w:cs="Arial" w:eastAsia="Arial" w:hAnsi="Arial"/>
          <w:b/>
          <w:bCs/>
          <w:sz w:val="20"/>
          <w:szCs w:val="20"/>
        </w:rPr>
        <w:t xml:space="preserve">(b)   </w:t>
      </w:r>
      <w:r>
        <w:rPr>
          <w:rFonts w:ascii="Arial" w:cs="Arial" w:eastAsia="Arial" w:hAnsi="Arial"/>
          <w:b w:val="false"/>
          <w:bCs w:val="false"/>
          <w:sz w:val="20"/>
          <w:szCs w:val="20"/>
        </w:rPr>
        <w:t xml:space="preserve">Indirect Political Events: Riot, civil commotion, or bandh affecting the Project Site and not involving either party's employees.</w:t>
      </w:r>
    </w:p>
    <w:p>
      <w:pPr>
        <w:spacing w:after="60" w:before="100"/>
        <w:ind w:left="360"/>
        <w:jc w:val="both"/>
      </w:pPr>
      <w:r>
        <w:rPr>
          <w:rFonts w:ascii="Arial" w:cs="Arial" w:eastAsia="Arial" w:hAnsi="Arial"/>
          <w:b/>
          <w:bCs/>
          <w:sz w:val="20"/>
          <w:szCs w:val="20"/>
        </w:rPr>
        <w:t xml:space="preserve">(c)   </w:t>
      </w:r>
      <w:r>
        <w:rPr>
          <w:rFonts w:ascii="Arial" w:cs="Arial" w:eastAsia="Arial" w:hAnsi="Arial"/>
          <w:b w:val="false"/>
          <w:bCs w:val="false"/>
          <w:sz w:val="20"/>
          <w:szCs w:val="20"/>
        </w:rPr>
        <w:t xml:space="preserve">Political Events: Change in Law; action of a Government agency that materially and adversely affects the Contractor; war, hostilities, or armed conflict.</w:t>
      </w:r>
    </w:p>
    <w:p>
      <w:pPr>
        <w:pStyle w:val="Heading2"/>
        <w:spacing w:after="80" w:before="240"/>
      </w:pPr>
      <w:r>
        <w:rPr>
          <w:rFonts w:ascii="Arial" w:cs="Arial" w:eastAsia="Arial" w:hAnsi="Arial"/>
          <w:b/>
          <w:bCs/>
          <w:color w:val="1F4E79"/>
          <w:sz w:val="24"/>
          <w:szCs w:val="24"/>
        </w:rPr>
        <w:t xml:space="preserve">19.2 Notice Obligation</w:t>
      </w:r>
    </w:p>
    <w:p>
      <w:pPr>
        <w:spacing w:after="60" w:before="100"/>
        <w:ind w:left="360"/>
        <w:jc w:val="both"/>
      </w:pPr>
      <w:r>
        <w:rPr>
          <w:rFonts w:ascii="Arial" w:cs="Arial" w:eastAsia="Arial" w:hAnsi="Arial"/>
          <w:b/>
          <w:bCs/>
          <w:sz w:val="20"/>
          <w:szCs w:val="20"/>
        </w:rPr>
        <w:t xml:space="preserve">19.2.1   </w:t>
      </w:r>
      <w:r>
        <w:rPr>
          <w:rFonts w:ascii="Arial" w:cs="Arial" w:eastAsia="Arial" w:hAnsi="Arial"/>
          <w:b w:val="false"/>
          <w:bCs w:val="false"/>
          <w:sz w:val="20"/>
          <w:szCs w:val="20"/>
        </w:rPr>
        <w:t xml:space="preserve">The Affected Party shall issue written notice to the other party within 7 (seven) days of becoming aware of the occurrence of the Force Majeure Event. FAILURE TO ISSUE NOTICE WITHIN 7 DAYS SHALL CONSTITUTE A COMPLETE WAIVER OF ALL RIGHTS TO RELIEF ARISING FROM THAT FORCE MAJEURE EVENT.</w:t>
      </w:r>
    </w:p>
    <w:p>
      <w:pPr>
        <w:spacing w:after="60" w:before="100"/>
        <w:ind w:left="360"/>
        <w:jc w:val="both"/>
      </w:pPr>
      <w:r>
        <w:rPr>
          <w:rFonts w:ascii="Arial" w:cs="Arial" w:eastAsia="Arial" w:hAnsi="Arial"/>
          <w:b/>
          <w:bCs/>
          <w:sz w:val="20"/>
          <w:szCs w:val="20"/>
        </w:rPr>
        <w:t xml:space="preserve">19.2.2   </w:t>
      </w:r>
      <w:r>
        <w:rPr>
          <w:rFonts w:ascii="Arial" w:cs="Arial" w:eastAsia="Arial" w:hAnsi="Arial"/>
          <w:b w:val="false"/>
          <w:bCs w:val="false"/>
          <w:sz w:val="20"/>
          <w:szCs w:val="20"/>
        </w:rPr>
        <w:t xml:space="preserve">The notice shall contain: (a) a full description of the Force Majeure Event; (b) an assessment of the likely impact on the Scheduled Completion Date; (c) the estimated duration of the Event; and (d) the mitigation strategy being adopted.</w:t>
      </w:r>
    </w:p>
    <w:p>
      <w:pPr>
        <w:spacing w:after="60" w:before="100"/>
        <w:ind w:left="360"/>
        <w:jc w:val="both"/>
      </w:pPr>
      <w:r>
        <w:rPr>
          <w:rFonts w:ascii="Arial" w:cs="Arial" w:eastAsia="Arial" w:hAnsi="Arial"/>
          <w:b/>
          <w:bCs/>
          <w:sz w:val="20"/>
          <w:szCs w:val="20"/>
        </w:rPr>
        <w:t xml:space="preserve">19.2.3   </w:t>
      </w:r>
      <w:r>
        <w:rPr>
          <w:rFonts w:ascii="Arial" w:cs="Arial" w:eastAsia="Arial" w:hAnsi="Arial"/>
          <w:b w:val="false"/>
          <w:bCs w:val="false"/>
          <w:sz w:val="20"/>
          <w:szCs w:val="20"/>
        </w:rPr>
        <w:t xml:space="preserve">The Affected Party shall thereafter submit weekly updates on the status, duration, and impact of the Force Majeure Event.</w:t>
      </w:r>
    </w:p>
    <w:p>
      <w:pPr>
        <w:pStyle w:val="Heading2"/>
        <w:spacing w:after="80" w:before="240"/>
      </w:pPr>
      <w:r>
        <w:rPr>
          <w:rFonts w:ascii="Arial" w:cs="Arial" w:eastAsia="Arial" w:hAnsi="Arial"/>
          <w:b/>
          <w:bCs/>
          <w:color w:val="1F4E79"/>
          <w:sz w:val="24"/>
          <w:szCs w:val="24"/>
        </w:rPr>
        <w:t xml:space="preserve">19.3 Evidence Requirements</w:t>
      </w:r>
    </w:p>
    <w:p>
      <w:pPr>
        <w:spacing w:after="60" w:before="100"/>
        <w:ind w:left="360"/>
        <w:jc w:val="both"/>
      </w:pPr>
      <w:r>
        <w:rPr>
          <w:rFonts w:ascii="Arial" w:cs="Arial" w:eastAsia="Arial" w:hAnsi="Arial"/>
          <w:b/>
          <w:bCs/>
          <w:sz w:val="20"/>
          <w:szCs w:val="20"/>
        </w:rPr>
        <w:t xml:space="preserve">19.3.1   </w:t>
      </w:r>
      <w:r>
        <w:rPr>
          <w:rFonts w:ascii="Arial" w:cs="Arial" w:eastAsia="Arial" w:hAnsi="Arial"/>
          <w:b w:val="false"/>
          <w:bCs w:val="false"/>
          <w:sz w:val="20"/>
          <w:szCs w:val="20"/>
        </w:rPr>
        <w:t xml:space="preserve">Weather-based Force Majeure claims shall be supported by certified data from the India Meteorological Department (IMD) confirming that the rainfall or weather conditions were statistically abnormal (i.e., exceeding 2 standard deviations above the 30-year normal for the relevant month and location).</w:t>
      </w:r>
    </w:p>
    <w:p>
      <w:pPr>
        <w:spacing w:after="60" w:before="100"/>
        <w:ind w:left="360"/>
        <w:jc w:val="both"/>
      </w:pPr>
      <w:r>
        <w:rPr>
          <w:rFonts w:ascii="Arial" w:cs="Arial" w:eastAsia="Arial" w:hAnsi="Arial"/>
          <w:b/>
          <w:bCs/>
          <w:sz w:val="20"/>
          <w:szCs w:val="20"/>
        </w:rPr>
        <w:t xml:space="preserve">19.3.2   </w:t>
      </w:r>
      <w:r>
        <w:rPr>
          <w:rFonts w:ascii="Arial" w:cs="Arial" w:eastAsia="Arial" w:hAnsi="Arial"/>
          <w:b w:val="false"/>
          <w:bCs w:val="false"/>
          <w:sz w:val="20"/>
          <w:szCs w:val="20"/>
        </w:rPr>
        <w:t xml:space="preserve">Political event claims shall be supported by FIR, government curfew order, or other official documentation.</w:t>
      </w:r>
    </w:p>
    <w:p>
      <w:pPr>
        <w:spacing w:after="60" w:before="100"/>
        <w:ind w:left="360"/>
        <w:jc w:val="both"/>
      </w:pPr>
      <w:r>
        <w:rPr>
          <w:rFonts w:ascii="Arial" w:cs="Arial" w:eastAsia="Arial" w:hAnsi="Arial"/>
          <w:b/>
          <w:bCs/>
          <w:sz w:val="20"/>
          <w:szCs w:val="20"/>
        </w:rPr>
        <w:t xml:space="preserve">19.3.3   </w:t>
      </w:r>
      <w:r>
        <w:rPr>
          <w:rFonts w:ascii="Arial" w:cs="Arial" w:eastAsia="Arial" w:hAnsi="Arial"/>
          <w:b w:val="false"/>
          <w:bCs w:val="false"/>
          <w:sz w:val="20"/>
          <w:szCs w:val="20"/>
        </w:rPr>
        <w:t xml:space="preserve">Change in Law claims shall be supported by the relevant gazette notification.</w:t>
      </w:r>
    </w:p>
    <w:p>
      <w:pPr>
        <w:pStyle w:val="Heading2"/>
        <w:spacing w:after="80" w:before="240"/>
      </w:pPr>
      <w:r>
        <w:rPr>
          <w:rFonts w:ascii="Arial" w:cs="Arial" w:eastAsia="Arial" w:hAnsi="Arial"/>
          <w:b/>
          <w:bCs/>
          <w:color w:val="1F4E79"/>
          <w:sz w:val="24"/>
          <w:szCs w:val="24"/>
        </w:rPr>
        <w:t xml:space="preserve">19.4 Relief</w:t>
      </w:r>
    </w:p>
    <w:p>
      <w:pPr>
        <w:spacing w:after="60" w:before="100"/>
        <w:ind w:left="360"/>
        <w:jc w:val="both"/>
      </w:pPr>
      <w:r>
        <w:rPr>
          <w:rFonts w:ascii="Arial" w:cs="Arial" w:eastAsia="Arial" w:hAnsi="Arial"/>
          <w:b/>
          <w:bCs/>
          <w:sz w:val="20"/>
          <w:szCs w:val="20"/>
        </w:rPr>
        <w:t xml:space="preserve">19.4.1   </w:t>
      </w:r>
      <w:r>
        <w:rPr>
          <w:rFonts w:ascii="Arial" w:cs="Arial" w:eastAsia="Arial" w:hAnsi="Arial"/>
          <w:b w:val="false"/>
          <w:bCs w:val="false"/>
          <w:sz w:val="20"/>
          <w:szCs w:val="20"/>
        </w:rPr>
        <w:t xml:space="preserve">Upon valid FM notice, the Contractor shall be entitled to an Extension of Time equal to the period of delay directly caused by the Force Majeure Event. The Contractor shall NOT be entitled to additional cost unless the FM Event is a Political Event, in which case the Authority shall compensate the Contractor for documented additional costs.</w:t>
      </w:r>
    </w:p>
    <w:p>
      <w:pPr>
        <w:spacing w:after="60" w:before="100"/>
        <w:ind w:left="360"/>
        <w:jc w:val="both"/>
      </w:pPr>
      <w:r>
        <w:rPr>
          <w:rFonts w:ascii="Arial" w:cs="Arial" w:eastAsia="Arial" w:hAnsi="Arial"/>
          <w:b/>
          <w:bCs/>
          <w:sz w:val="20"/>
          <w:szCs w:val="20"/>
        </w:rPr>
        <w:t xml:space="preserve">19.4.2   </w:t>
      </w:r>
      <w:r>
        <w:rPr>
          <w:rFonts w:ascii="Arial" w:cs="Arial" w:eastAsia="Arial" w:hAnsi="Arial"/>
          <w:b w:val="false"/>
          <w:bCs w:val="false"/>
          <w:sz w:val="20"/>
          <w:szCs w:val="20"/>
        </w:rPr>
        <w:t xml:space="preserve">If a Force Majeure Event continues for more than 180 (one hundred and eighty) continuous days, either party may issue a termination notice upon 60 days' written notice to the other party.</w:t>
      </w:r>
    </w:p>
    <w:p>
      <w:pPr>
        <w:spacing w:after="80" w:before="80"/>
      </w:pPr>
      <w:r>
        <w:t xml:space="preserve"/>
      </w:r>
    </w:p>
    <w:p>
      <w:pPr>
        <w:pStyle w:val="Heading1"/>
        <w:pBdr>
          <w:bottom w:val="single" w:color="1F4E79" w:sz="4" w:space="4"/>
        </w:pBdr>
        <w:spacing w:after="120" w:before="360"/>
      </w:pPr>
      <w:r>
        <w:rPr>
          <w:rFonts w:ascii="Arial" w:cs="Arial" w:eastAsia="Arial" w:hAnsi="Arial"/>
          <w:b/>
          <w:bCs/>
          <w:sz w:val="28"/>
          <w:szCs w:val="28"/>
        </w:rPr>
        <w:t xml:space="preserve">ARTICLE 20 — EXTENSION OF TIME (EoT)</w:t>
      </w:r>
    </w:p>
    <w:p>
      <w:pPr>
        <w:spacing w:after="60" w:before="100"/>
        <w:ind w:left="360"/>
        <w:jc w:val="both"/>
      </w:pPr>
      <w:r>
        <w:rPr>
          <w:rFonts w:ascii="Arial" w:cs="Arial" w:eastAsia="Arial" w:hAnsi="Arial"/>
          <w:b/>
          <w:bCs/>
          <w:sz w:val="20"/>
          <w:szCs w:val="20"/>
        </w:rPr>
        <w:t xml:space="preserve">20.1   </w:t>
      </w:r>
      <w:r>
        <w:rPr>
          <w:rFonts w:ascii="Arial" w:cs="Arial" w:eastAsia="Arial" w:hAnsi="Arial"/>
          <w:b w:val="false"/>
          <w:bCs w:val="false"/>
          <w:sz w:val="20"/>
          <w:szCs w:val="20"/>
        </w:rPr>
        <w:t xml:space="preserve">The Contractor shall be entitled to an Extension of Time for completion of the Project if and to the extent that completion is delayed by: (a) Force Majeure Events (Article 19); (b) Default of the Authority; (c) Change in Law; or (d) any other cause expressly provided in this Agreement.</w:t>
      </w:r>
    </w:p>
    <w:p>
      <w:pPr>
        <w:spacing w:after="60" w:before="100"/>
        <w:ind w:left="360"/>
        <w:jc w:val="both"/>
      </w:pPr>
      <w:r>
        <w:rPr>
          <w:rFonts w:ascii="Arial" w:cs="Arial" w:eastAsia="Arial" w:hAnsi="Arial"/>
          <w:b/>
          <w:bCs/>
          <w:sz w:val="20"/>
          <w:szCs w:val="20"/>
        </w:rPr>
        <w:t xml:space="preserve">20.2   </w:t>
      </w:r>
      <w:r>
        <w:rPr>
          <w:rFonts w:ascii="Arial" w:cs="Arial" w:eastAsia="Arial" w:hAnsi="Arial"/>
          <w:b w:val="false"/>
          <w:bCs w:val="false"/>
          <w:sz w:val="20"/>
          <w:szCs w:val="20"/>
        </w:rPr>
        <w:t xml:space="preserve">The Contractor shall submit an application for Extension of Time to the Authority's Engineer within 14 (fourteen) days of the occurrence of the event giving rise to the claim. The application shall be supported by the relevant Hindrance Register entries, jointly signed by the Contractor and the Junior Engineer (JE) or Assistant Engineer (AE).</w:t>
      </w:r>
    </w:p>
    <w:p>
      <w:pPr>
        <w:spacing w:after="60" w:before="100"/>
        <w:ind w:left="360"/>
        <w:jc w:val="both"/>
      </w:pPr>
      <w:r>
        <w:rPr>
          <w:rFonts w:ascii="Arial" w:cs="Arial" w:eastAsia="Arial" w:hAnsi="Arial"/>
          <w:b/>
          <w:bCs/>
          <w:sz w:val="20"/>
          <w:szCs w:val="20"/>
        </w:rPr>
        <w:t xml:space="preserve">20.3   </w:t>
      </w:r>
      <w:r>
        <w:rPr>
          <w:rFonts w:ascii="Arial" w:cs="Arial" w:eastAsia="Arial" w:hAnsi="Arial"/>
          <w:b w:val="false"/>
          <w:bCs w:val="false"/>
          <w:sz w:val="20"/>
          <w:szCs w:val="20"/>
        </w:rPr>
        <w:t xml:space="preserve">In determining the EoT, the Authority's Engineer shall deduct any period of concurrent delay for which the Contractor is responsible, and any overlapping periods of hindrance, to arrive at the net eligible extension.</w:t>
      </w:r>
    </w:p>
    <w:p>
      <w:pPr>
        <w:spacing w:after="60" w:before="100"/>
        <w:ind w:left="360"/>
        <w:jc w:val="both"/>
      </w:pPr>
      <w:r>
        <w:rPr>
          <w:rFonts w:ascii="Arial" w:cs="Arial" w:eastAsia="Arial" w:hAnsi="Arial"/>
          <w:b/>
          <w:bCs/>
          <w:sz w:val="20"/>
          <w:szCs w:val="20"/>
        </w:rPr>
        <w:t xml:space="preserve">20.4   </w:t>
      </w:r>
      <w:r>
        <w:rPr>
          <w:rFonts w:ascii="Arial" w:cs="Arial" w:eastAsia="Arial" w:hAnsi="Arial"/>
          <w:b w:val="false"/>
          <w:bCs w:val="false"/>
          <w:sz w:val="20"/>
          <w:szCs w:val="20"/>
        </w:rPr>
        <w:t xml:space="preserve">The grant of an Extension of Time shall not entitle the Contractor to any additional payment unless expressly provided in this Agreement.</w:t>
      </w:r>
    </w:p>
    <w:p>
      <w:pPr>
        <w:spacing w:after="80" w:before="80"/>
      </w:pPr>
      <w:r>
        <w:t xml:space="preserve"/>
      </w:r>
    </w:p>
    <w:p>
      <w:pPr>
        <w:pStyle w:val="Heading1"/>
        <w:pBdr>
          <w:bottom w:val="single" w:color="1F4E79" w:sz="4" w:space="4"/>
        </w:pBdr>
        <w:spacing w:after="120" w:before="360"/>
      </w:pPr>
      <w:r>
        <w:rPr>
          <w:rFonts w:ascii="Arial" w:cs="Arial" w:eastAsia="Arial" w:hAnsi="Arial"/>
          <w:b/>
          <w:bCs/>
          <w:sz w:val="28"/>
          <w:szCs w:val="28"/>
        </w:rPr>
        <w:t xml:space="preserve">ARTICLE 22 — MEASUREMENT AND PAYMENT</w:t>
      </w:r>
    </w:p>
    <w:p>
      <w:pPr>
        <w:spacing w:after="60" w:before="100"/>
        <w:ind w:left="360"/>
        <w:jc w:val="both"/>
      </w:pPr>
      <w:r>
        <w:rPr>
          <w:rFonts w:ascii="Arial" w:cs="Arial" w:eastAsia="Arial" w:hAnsi="Arial"/>
          <w:b/>
          <w:bCs/>
          <w:sz w:val="20"/>
          <w:szCs w:val="20"/>
        </w:rPr>
        <w:t xml:space="preserve">22.1   </w:t>
      </w:r>
      <w:r>
        <w:rPr>
          <w:rFonts w:ascii="Arial" w:cs="Arial" w:eastAsia="Arial" w:hAnsi="Arial"/>
          <w:b w:val="false"/>
          <w:bCs w:val="false"/>
          <w:sz w:val="20"/>
          <w:szCs w:val="20"/>
        </w:rPr>
        <w:t xml:space="preserve">The Contractor shall submit monthly Running Account (RA) Bills to the Authority's Engineer by the 5th day of each month for work executed in the preceding month. Each bill shall be supported by a Computerised Measurement Book (CMB) certified by the Junior Engineer.</w:t>
      </w:r>
    </w:p>
    <w:p>
      <w:pPr>
        <w:spacing w:after="60" w:before="100"/>
        <w:ind w:left="360"/>
        <w:jc w:val="both"/>
      </w:pPr>
      <w:r>
        <w:rPr>
          <w:rFonts w:ascii="Arial" w:cs="Arial" w:eastAsia="Arial" w:hAnsi="Arial"/>
          <w:b/>
          <w:bCs/>
          <w:sz w:val="20"/>
          <w:szCs w:val="20"/>
        </w:rPr>
        <w:t xml:space="preserve">22.2   </w:t>
      </w:r>
      <w:r>
        <w:rPr>
          <w:rFonts w:ascii="Arial" w:cs="Arial" w:eastAsia="Arial" w:hAnsi="Arial"/>
          <w:b w:val="false"/>
          <w:bCs w:val="false"/>
          <w:sz w:val="20"/>
          <w:szCs w:val="20"/>
        </w:rPr>
        <w:t xml:space="preserve">The Authority's Engineer shall verify and certify the RA Bill within 15 days of submission. The Authority shall release payment within 30 days of certification. Payment delayed beyond 30 days shall attract interest at 1% per month on the delayed amount.</w:t>
      </w:r>
    </w:p>
    <w:p>
      <w:pPr>
        <w:spacing w:after="60" w:before="100"/>
        <w:ind w:left="360"/>
        <w:jc w:val="both"/>
      </w:pPr>
      <w:r>
        <w:rPr>
          <w:rFonts w:ascii="Arial" w:cs="Arial" w:eastAsia="Arial" w:hAnsi="Arial"/>
          <w:b/>
          <w:bCs/>
          <w:sz w:val="20"/>
          <w:szCs w:val="20"/>
        </w:rPr>
        <w:t xml:space="preserve">22.3   </w:t>
      </w:r>
      <w:r>
        <w:rPr>
          <w:rFonts w:ascii="Arial" w:cs="Arial" w:eastAsia="Arial" w:hAnsi="Arial"/>
          <w:b w:val="false"/>
          <w:bCs w:val="false"/>
          <w:sz w:val="20"/>
          <w:szCs w:val="20"/>
        </w:rPr>
        <w:t xml:space="preserve">The following deductions shall be made from each RA Bill: (a) Retention Money: 5% of each bill, released after Defects Liability Period; (b) Income Tax (TDS): 2%; (c) GST-TDS: 2%; (d) BOCW Cess: 1% of labour component; (e) Recovery of Mobilisation Advance: 10% of each bill until fully recovered; (f) Liquidated Damages: as calculated under Article 10.3.</w:t>
      </w:r>
    </w:p>
    <w:p>
      <w:pPr>
        <w:spacing w:after="80" w:before="80"/>
      </w:pPr>
      <w:r>
        <w:t xml:space="preserve"/>
      </w:r>
    </w:p>
    <w:p>
      <w:pPr>
        <w:pStyle w:val="Heading1"/>
        <w:pBdr>
          <w:bottom w:val="single" w:color="1F4E79" w:sz="4" w:space="4"/>
        </w:pBdr>
        <w:spacing w:after="120" w:before="360"/>
      </w:pPr>
      <w:r>
        <w:rPr>
          <w:rFonts w:ascii="Arial" w:cs="Arial" w:eastAsia="Arial" w:hAnsi="Arial"/>
          <w:b/>
          <w:bCs/>
          <w:sz w:val="28"/>
          <w:szCs w:val="28"/>
        </w:rPr>
        <w:t xml:space="preserve">ARTICLE 23 — DEFAULT AND TERMINATION</w:t>
      </w:r>
    </w:p>
    <w:p>
      <w:pPr>
        <w:pStyle w:val="Heading2"/>
        <w:spacing w:after="80" w:before="240"/>
      </w:pPr>
      <w:r>
        <w:rPr>
          <w:rFonts w:ascii="Arial" w:cs="Arial" w:eastAsia="Arial" w:hAnsi="Arial"/>
          <w:b/>
          <w:bCs/>
          <w:color w:val="1F4E79"/>
          <w:sz w:val="24"/>
          <w:szCs w:val="24"/>
        </w:rPr>
        <w:t xml:space="preserve">23.1 Contractor Default</w:t>
      </w:r>
    </w:p>
    <w:p>
      <w:pPr>
        <w:spacing w:after="60" w:before="100"/>
        <w:ind w:left="360"/>
        <w:jc w:val="both"/>
      </w:pPr>
      <w:r>
        <w:rPr>
          <w:rFonts w:ascii="Arial" w:cs="Arial" w:eastAsia="Arial" w:hAnsi="Arial"/>
          <w:b/>
          <w:bCs/>
          <w:sz w:val="20"/>
          <w:szCs w:val="20"/>
        </w:rPr>
        <w:t xml:space="preserve">23.1.1   </w:t>
      </w:r>
      <w:r>
        <w:rPr>
          <w:rFonts w:ascii="Arial" w:cs="Arial" w:eastAsia="Arial" w:hAnsi="Arial"/>
          <w:b w:val="false"/>
          <w:bCs w:val="false"/>
          <w:sz w:val="20"/>
          <w:szCs w:val="20"/>
        </w:rPr>
        <w:t xml:space="preserve">The following shall constitute events of Contractor Default:</w:t>
      </w:r>
    </w:p>
    <w:p>
      <w:pPr>
        <w:spacing w:after="60" w:before="100"/>
        <w:ind w:left="360"/>
        <w:jc w:val="both"/>
      </w:pPr>
      <w:r>
        <w:rPr>
          <w:rFonts w:ascii="Arial" w:cs="Arial" w:eastAsia="Arial" w:hAnsi="Arial"/>
          <w:b/>
          <w:bCs/>
          <w:sz w:val="20"/>
          <w:szCs w:val="20"/>
        </w:rPr>
        <w:t xml:space="preserve">(a)   </w:t>
      </w:r>
      <w:r>
        <w:rPr>
          <w:rFonts w:ascii="Arial" w:cs="Arial" w:eastAsia="Arial" w:hAnsi="Arial"/>
          <w:b w:val="false"/>
          <w:bCs w:val="false"/>
          <w:sz w:val="20"/>
          <w:szCs w:val="20"/>
        </w:rPr>
        <w:t xml:space="preserve">The Contractor delays completion of the Project beyond the Scheduled Completion Date (as extended) by more than 90 (ninety) days.</w:t>
      </w:r>
    </w:p>
    <w:p>
      <w:pPr>
        <w:spacing w:after="60" w:before="100"/>
        <w:ind w:left="360"/>
        <w:jc w:val="both"/>
      </w:pPr>
      <w:r>
        <w:rPr>
          <w:rFonts w:ascii="Arial" w:cs="Arial" w:eastAsia="Arial" w:hAnsi="Arial"/>
          <w:b/>
          <w:bCs/>
          <w:sz w:val="20"/>
          <w:szCs w:val="20"/>
        </w:rPr>
        <w:t xml:space="preserve">(b)   </w:t>
      </w:r>
      <w:r>
        <w:rPr>
          <w:rFonts w:ascii="Arial" w:cs="Arial" w:eastAsia="Arial" w:hAnsi="Arial"/>
          <w:b w:val="false"/>
          <w:bCs w:val="false"/>
          <w:sz w:val="20"/>
          <w:szCs w:val="20"/>
        </w:rPr>
        <w:t xml:space="preserve">The Contractor abandons or repudiates the Project for a continuous period exceeding 15 days.</w:t>
      </w:r>
    </w:p>
    <w:p>
      <w:pPr>
        <w:spacing w:after="60" w:before="100"/>
        <w:ind w:left="360"/>
        <w:jc w:val="both"/>
      </w:pPr>
      <w:r>
        <w:rPr>
          <w:rFonts w:ascii="Arial" w:cs="Arial" w:eastAsia="Arial" w:hAnsi="Arial"/>
          <w:b/>
          <w:bCs/>
          <w:sz w:val="20"/>
          <w:szCs w:val="20"/>
        </w:rPr>
        <w:t xml:space="preserve">(c)   </w:t>
      </w:r>
      <w:r>
        <w:rPr>
          <w:rFonts w:ascii="Arial" w:cs="Arial" w:eastAsia="Arial" w:hAnsi="Arial"/>
          <w:b w:val="false"/>
          <w:bCs w:val="false"/>
          <w:sz w:val="20"/>
          <w:szCs w:val="20"/>
        </w:rPr>
        <w:t xml:space="preserve">The aggregate Liquidated Damages levied reach the maximum cap of 10% of the Contract Price.</w:t>
      </w:r>
    </w:p>
    <w:p>
      <w:pPr>
        <w:spacing w:after="60" w:before="100"/>
        <w:ind w:left="360"/>
        <w:jc w:val="both"/>
      </w:pPr>
      <w:r>
        <w:rPr>
          <w:rFonts w:ascii="Arial" w:cs="Arial" w:eastAsia="Arial" w:hAnsi="Arial"/>
          <w:b/>
          <w:bCs/>
          <w:sz w:val="20"/>
          <w:szCs w:val="20"/>
        </w:rPr>
        <w:t xml:space="preserve">(d)   </w:t>
      </w:r>
      <w:r>
        <w:rPr>
          <w:rFonts w:ascii="Arial" w:cs="Arial" w:eastAsia="Arial" w:hAnsi="Arial"/>
          <w:b w:val="false"/>
          <w:bCs w:val="false"/>
          <w:sz w:val="20"/>
          <w:szCs w:val="20"/>
        </w:rPr>
        <w:t xml:space="preserve">The Contractor fails to replenish the Performance Security within 15 days of any encashment by the Authority.</w:t>
      </w:r>
    </w:p>
    <w:p>
      <w:pPr>
        <w:spacing w:after="60" w:before="100"/>
        <w:ind w:left="360"/>
        <w:jc w:val="both"/>
      </w:pPr>
      <w:r>
        <w:rPr>
          <w:rFonts w:ascii="Arial" w:cs="Arial" w:eastAsia="Arial" w:hAnsi="Arial"/>
          <w:b/>
          <w:bCs/>
          <w:sz w:val="20"/>
          <w:szCs w:val="20"/>
        </w:rPr>
        <w:t xml:space="preserve">(e)   </w:t>
      </w:r>
      <w:r>
        <w:rPr>
          <w:rFonts w:ascii="Arial" w:cs="Arial" w:eastAsia="Arial" w:hAnsi="Arial"/>
          <w:b w:val="false"/>
          <w:bCs w:val="false"/>
          <w:sz w:val="20"/>
          <w:szCs w:val="20"/>
        </w:rPr>
        <w:t xml:space="preserve">The Contractor becomes insolvent, makes any arrangement with its creditors, or goes into liquidation.</w:t>
      </w:r>
    </w:p>
    <w:p>
      <w:pPr>
        <w:spacing w:after="60" w:before="100"/>
        <w:ind w:left="360"/>
        <w:jc w:val="both"/>
      </w:pPr>
      <w:r>
        <w:rPr>
          <w:rFonts w:ascii="Arial" w:cs="Arial" w:eastAsia="Arial" w:hAnsi="Arial"/>
          <w:b/>
          <w:bCs/>
          <w:sz w:val="20"/>
          <w:szCs w:val="20"/>
        </w:rPr>
        <w:t xml:space="preserve">23.1.2   </w:t>
      </w:r>
      <w:r>
        <w:rPr>
          <w:rFonts w:ascii="Arial" w:cs="Arial" w:eastAsia="Arial" w:hAnsi="Arial"/>
          <w:b w:val="false"/>
          <w:bCs w:val="false"/>
          <w:sz w:val="20"/>
          <w:szCs w:val="20"/>
        </w:rPr>
        <w:t xml:space="preserve">Upon occurrence of a Contractor Default, the Authority shall issue a Notice of Intent to Terminate, providing the Contractor with a Cure Period of 60 (sixty) days to remedy the default. If the default is not remedied within the Cure Period, the Authority may issue a Final Termination Notice.</w:t>
      </w:r>
    </w:p>
    <w:p>
      <w:pPr>
        <w:spacing w:after="60" w:before="100"/>
        <w:ind w:left="360"/>
        <w:jc w:val="both"/>
      </w:pPr>
      <w:r>
        <w:rPr>
          <w:rFonts w:ascii="Arial" w:cs="Arial" w:eastAsia="Arial" w:hAnsi="Arial"/>
          <w:b/>
          <w:bCs/>
          <w:sz w:val="20"/>
          <w:szCs w:val="20"/>
        </w:rPr>
        <w:t xml:space="preserve">23.1.3   </w:t>
      </w:r>
      <w:r>
        <w:rPr>
          <w:rFonts w:ascii="Arial" w:cs="Arial" w:eastAsia="Arial" w:hAnsi="Arial"/>
          <w:b w:val="false"/>
          <w:bCs w:val="false"/>
          <w:sz w:val="20"/>
          <w:szCs w:val="20"/>
        </w:rPr>
        <w:t xml:space="preserve">Upon termination for Contractor Default: (a) the Performance Security shall be forfeited; (b) the Authority may complete the remaining works through another agency at the Contractor's risk and cost; (c) the Contractor shall remove all plant, equipment and personnel from the Site within 30 days.</w:t>
      </w:r>
    </w:p>
    <w:p>
      <w:pPr>
        <w:pStyle w:val="Heading2"/>
        <w:spacing w:after="80" w:before="240"/>
      </w:pPr>
      <w:r>
        <w:rPr>
          <w:rFonts w:ascii="Arial" w:cs="Arial" w:eastAsia="Arial" w:hAnsi="Arial"/>
          <w:b/>
          <w:bCs/>
          <w:color w:val="1F4E79"/>
          <w:sz w:val="24"/>
          <w:szCs w:val="24"/>
        </w:rPr>
        <w:t xml:space="preserve">23.2 Authority Default</w:t>
      </w:r>
    </w:p>
    <w:p>
      <w:pPr>
        <w:spacing w:after="60" w:before="100"/>
        <w:ind w:left="360"/>
        <w:jc w:val="both"/>
      </w:pPr>
      <w:r>
        <w:rPr>
          <w:rFonts w:ascii="Arial" w:cs="Arial" w:eastAsia="Arial" w:hAnsi="Arial"/>
          <w:b/>
          <w:bCs/>
          <w:sz w:val="20"/>
          <w:szCs w:val="20"/>
        </w:rPr>
        <w:t xml:space="preserve">23.2.1   </w:t>
      </w:r>
      <w:r>
        <w:rPr>
          <w:rFonts w:ascii="Arial" w:cs="Arial" w:eastAsia="Arial" w:hAnsi="Arial"/>
          <w:b w:val="false"/>
          <w:bCs w:val="false"/>
          <w:sz w:val="20"/>
          <w:szCs w:val="20"/>
        </w:rPr>
        <w:t xml:space="preserve">The following shall constitute events of Authority Default: (a) failure to hand over the required Right of Way within 180 days of the Appointed Date; (b) failure to release certified payments within 60 days of certification; (c) suspension of works by the Authority for a continuous period exceeding 180 days for reasons not attributable to the Contractor.</w:t>
      </w:r>
    </w:p>
    <w:p>
      <w:pPr>
        <w:spacing w:after="60" w:before="100"/>
        <w:ind w:left="360"/>
        <w:jc w:val="both"/>
      </w:pPr>
      <w:r>
        <w:rPr>
          <w:rFonts w:ascii="Arial" w:cs="Arial" w:eastAsia="Arial" w:hAnsi="Arial"/>
          <w:b/>
          <w:bCs/>
          <w:sz w:val="20"/>
          <w:szCs w:val="20"/>
        </w:rPr>
        <w:t xml:space="preserve">23.2.2   </w:t>
      </w:r>
      <w:r>
        <w:rPr>
          <w:rFonts w:ascii="Arial" w:cs="Arial" w:eastAsia="Arial" w:hAnsi="Arial"/>
          <w:b w:val="false"/>
          <w:bCs w:val="false"/>
          <w:sz w:val="20"/>
          <w:szCs w:val="20"/>
        </w:rPr>
        <w:t xml:space="preserve">Upon termination for Authority Default, the Authority shall pay to the Contractor: (a) the value of all works executed and certified; (b) the cost of all materials on site; (c) reasonable demobilisation costs; (d) all Performance Security deposits and guarantees returned within 30 days.</w:t>
      </w:r>
    </w:p>
    <w:p>
      <w:pPr>
        <w:spacing w:after="80" w:before="80"/>
      </w:pPr>
      <w:r>
        <w:t xml:space="preserve"/>
      </w:r>
    </w:p>
    <w:p>
      <w:pPr>
        <w:pStyle w:val="Heading1"/>
        <w:pBdr>
          <w:bottom w:val="single" w:color="1F4E79" w:sz="4" w:space="4"/>
        </w:pBdr>
        <w:spacing w:after="120" w:before="360"/>
      </w:pPr>
      <w:r>
        <w:rPr>
          <w:rFonts w:ascii="Arial" w:cs="Arial" w:eastAsia="Arial" w:hAnsi="Arial"/>
          <w:b/>
          <w:bCs/>
          <w:sz w:val="28"/>
          <w:szCs w:val="28"/>
        </w:rPr>
        <w:t xml:space="preserve">ARTICLE 25 — EARLY COMPLETION BONUS</w:t>
      </w:r>
    </w:p>
    <w:p>
      <w:pPr>
        <w:spacing w:after="60" w:before="100"/>
        <w:ind w:left="360"/>
        <w:jc w:val="both"/>
      </w:pPr>
      <w:r>
        <w:rPr>
          <w:rFonts w:ascii="Arial" w:cs="Arial" w:eastAsia="Arial" w:hAnsi="Arial"/>
          <w:b/>
          <w:bCs/>
          <w:sz w:val="20"/>
          <w:szCs w:val="20"/>
        </w:rPr>
        <w:t xml:space="preserve">25.1   </w:t>
      </w:r>
      <w:r>
        <w:rPr>
          <w:rFonts w:ascii="Arial" w:cs="Arial" w:eastAsia="Arial" w:hAnsi="Arial"/>
          <w:b w:val="false"/>
          <w:bCs w:val="false"/>
          <w:sz w:val="20"/>
          <w:szCs w:val="20"/>
        </w:rPr>
        <w:t xml:space="preserve">If the Contractor achieves completion of the Project before the Scheduled Completion Date, the Authority shall pay a Bonus to the Contractor at the rate of 1% (one percent) of the Contract Price per month of early completion (pro-rated for part months), subject to a maximum Bonus of 5% (five percent) of the Contract Price (INR 1,25,00,000).</w:t>
      </w:r>
    </w:p>
    <w:p>
      <w:pPr>
        <w:spacing w:after="60" w:before="100"/>
        <w:ind w:left="360"/>
        <w:jc w:val="both"/>
      </w:pPr>
      <w:r>
        <w:rPr>
          <w:rFonts w:ascii="Arial" w:cs="Arial" w:eastAsia="Arial" w:hAnsi="Arial"/>
          <w:b/>
          <w:bCs/>
          <w:sz w:val="20"/>
          <w:szCs w:val="20"/>
        </w:rPr>
        <w:t xml:space="preserve">25.2   </w:t>
      </w:r>
      <w:r>
        <w:rPr>
          <w:rFonts w:ascii="Arial" w:cs="Arial" w:eastAsia="Arial" w:hAnsi="Arial"/>
          <w:b w:val="false"/>
          <w:bCs w:val="false"/>
          <w:sz w:val="20"/>
          <w:szCs w:val="20"/>
        </w:rPr>
        <w:t xml:space="preserve">The Bonus shall be payable only after the issue of the Completion Certificate and shall be included in the Final Bill. The Contractor must have no outstanding NCRs, no pending quality issues, and the snag list must be fully cleared.</w:t>
      </w:r>
    </w:p>
    <w:p>
      <w:pPr>
        <w:spacing w:after="80" w:before="80"/>
      </w:pPr>
      <w:r>
        <w:t xml:space="preserve"/>
      </w:r>
    </w:p>
    <w:p>
      <w:pPr>
        <w:pStyle w:val="Heading1"/>
        <w:pBdr>
          <w:bottom w:val="single" w:color="1F4E79" w:sz="4" w:space="4"/>
        </w:pBdr>
        <w:spacing w:after="120" w:before="360"/>
      </w:pPr>
      <w:r>
        <w:rPr>
          <w:rFonts w:ascii="Arial" w:cs="Arial" w:eastAsia="Arial" w:hAnsi="Arial"/>
          <w:b/>
          <w:bCs/>
          <w:sz w:val="28"/>
          <w:szCs w:val="28"/>
        </w:rPr>
        <w:t xml:space="preserve">ARTICLE 26 — DISPUTE RESOLUTION</w:t>
      </w:r>
    </w:p>
    <w:p>
      <w:pPr>
        <w:spacing w:after="60" w:before="100"/>
        <w:ind w:left="360"/>
        <w:jc w:val="both"/>
      </w:pPr>
      <w:r>
        <w:rPr>
          <w:rFonts w:ascii="Arial" w:cs="Arial" w:eastAsia="Arial" w:hAnsi="Arial"/>
          <w:b/>
          <w:bCs/>
          <w:sz w:val="20"/>
          <w:szCs w:val="20"/>
        </w:rPr>
        <w:t xml:space="preserve">26.1   </w:t>
      </w:r>
      <w:r>
        <w:rPr>
          <w:rFonts w:ascii="Arial" w:cs="Arial" w:eastAsia="Arial" w:hAnsi="Arial"/>
          <w:b w:val="false"/>
          <w:bCs w:val="false"/>
          <w:sz w:val="20"/>
          <w:szCs w:val="20"/>
        </w:rPr>
        <w:t xml:space="preserve">Any dispute or difference arising out of or in connection with this Agreement shall first be referred to Amicable Conciliation between the parties. The party raising the dispute shall issue a written Dispute Notice. If the dispute is not resolved by Amicable Conciliation within 30 (thirty) days of the Dispute Notice, either party may refer the dispute to Arbitration.</w:t>
      </w:r>
    </w:p>
    <w:p>
      <w:pPr>
        <w:spacing w:after="60" w:before="100"/>
        <w:ind w:left="360"/>
        <w:jc w:val="both"/>
      </w:pPr>
      <w:r>
        <w:rPr>
          <w:rFonts w:ascii="Arial" w:cs="Arial" w:eastAsia="Arial" w:hAnsi="Arial"/>
          <w:b/>
          <w:bCs/>
          <w:sz w:val="20"/>
          <w:szCs w:val="20"/>
        </w:rPr>
        <w:t xml:space="preserve">26.2   </w:t>
      </w:r>
      <w:r>
        <w:rPr>
          <w:rFonts w:ascii="Arial" w:cs="Arial" w:eastAsia="Arial" w:hAnsi="Arial"/>
          <w:b w:val="false"/>
          <w:bCs w:val="false"/>
          <w:sz w:val="20"/>
          <w:szCs w:val="20"/>
        </w:rPr>
        <w:t xml:space="preserve">Arbitration shall be conducted by a tribunal of 3 (three) arbitrators — one appointed by each party and the third (presiding) arbitrator appointed by the two party-appointed arbitrators — under the provisions of the Arbitration and Conciliation Act, 1996 and its amendments. The seat of arbitration shall be New Delhi.</w:t>
      </w:r>
    </w:p>
    <w:p>
      <w:pPr>
        <w:spacing w:after="60" w:before="100"/>
        <w:ind w:left="360"/>
        <w:jc w:val="both"/>
      </w:pPr>
      <w:r>
        <w:rPr>
          <w:rFonts w:ascii="Arial" w:cs="Arial" w:eastAsia="Arial" w:hAnsi="Arial"/>
          <w:b/>
          <w:bCs/>
          <w:sz w:val="20"/>
          <w:szCs w:val="20"/>
        </w:rPr>
        <w:t xml:space="preserve">26.3   </w:t>
      </w:r>
      <w:r>
        <w:rPr>
          <w:rFonts w:ascii="Arial" w:cs="Arial" w:eastAsia="Arial" w:hAnsi="Arial"/>
          <w:b w:val="false"/>
          <w:bCs w:val="false"/>
          <w:sz w:val="20"/>
          <w:szCs w:val="20"/>
        </w:rPr>
        <w:t xml:space="preserve">Pending resolution of any dispute, the Contractor shall continue to perform its obligations under this Agreement, and the Authority shall continue to make payments in respect of undisputed amounts.</w:t>
      </w:r>
    </w:p>
    <w:p>
      <w:pPr>
        <w:spacing w:after="80" w:before="80"/>
      </w:pPr>
      <w:r>
        <w:t xml:space="preserve"/>
      </w:r>
    </w:p>
    <w:p>
      <w:pPr>
        <w:pStyle w:val="Heading1"/>
        <w:pBdr>
          <w:bottom w:val="single" w:color="1F4E79" w:sz="4" w:space="4"/>
        </w:pBdr>
        <w:spacing w:after="120" w:before="360"/>
      </w:pPr>
      <w:r>
        <w:rPr>
          <w:rFonts w:ascii="Arial" w:cs="Arial" w:eastAsia="Arial" w:hAnsi="Arial"/>
          <w:b/>
          <w:bCs/>
          <w:sz w:val="28"/>
          <w:szCs w:val="28"/>
        </w:rPr>
        <w:t xml:space="preserve">SCHEDULE 1 — BILL OF QUANTITIES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000"/>
        <w:gridCol w:w="1200"/>
        <w:gridCol w:w="1200"/>
        <w:gridCol w:w="1526"/>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 of Work</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Quantity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Rate (₹)</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Amount (₹)</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Earthwork in Embankment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Cum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4,50,000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180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8,10,00,000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Granular Sub-Base (GSB) — 200mm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Cum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85,000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1,200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1,02,00,000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Wet Mix Macadam (WMM) — 250mm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Cum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72,000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1,450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1,04,40,000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Dense Bituminous Macadam (DBM) — 50mm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MT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28,000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7,200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2,01,60,000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Bituminous Concrete (BC) Wearing Course — 40mm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MT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22,000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8,500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1,87,00,000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M30 Concrete (Bridges &amp; Structures)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Cum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12,000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8,800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1,05,60,000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Pile Foundations (600mm dia., PSC)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4,200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18,500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77,70,000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Prestressed Concrete Girders (Major Bridge)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MT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42,000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75,60,000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Road Safety Furniture (Signs, Crash Barriers, Markings)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1,35,70,000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CONTRACT PRICE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25,00,00,000</w:t>
            </w:r>
          </w:p>
        </w:tc>
      </w:tr>
    </w:tbl>
    <w:p>
      <w:pPr>
        <w:spacing w:after="80" w:before="80"/>
      </w:pPr>
      <w:r>
        <w:t xml:space="preserve"/>
      </w:r>
    </w:p>
    <w:p>
      <w:pPr>
        <w:pStyle w:val="Heading1"/>
        <w:pBdr>
          <w:bottom w:val="single" w:color="1F4E79" w:sz="4" w:space="4"/>
        </w:pBdr>
        <w:spacing w:after="120" w:before="360"/>
      </w:pPr>
      <w:r>
        <w:rPr>
          <w:rFonts w:ascii="Arial" w:cs="Arial" w:eastAsia="Arial" w:hAnsi="Arial"/>
          <w:b/>
          <w:bCs/>
          <w:sz w:val="28"/>
          <w:szCs w:val="28"/>
        </w:rPr>
        <w:t xml:space="preserve">EXECUTION</w:t>
      </w:r>
    </w:p>
    <w:p>
      <w:pPr>
        <w:spacing w:after="80" w:before="80"/>
        <w:jc w:val="both"/>
      </w:pPr>
      <w:r>
        <w:rPr>
          <w:rFonts w:ascii="Arial" w:cs="Arial" w:eastAsia="Arial" w:hAnsi="Arial"/>
          <w:sz w:val="20"/>
          <w:szCs w:val="20"/>
        </w:rPr>
        <w:t xml:space="preserve">IN WITNESS WHEREOF, the parties have executed this Agreement as of the date first written above.</w:t>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tcMar>
              <w:top w:type="dxa" w:w="200"/>
              <w:left w:type="dxa" w:w="200"/>
              <w:bottom w:type="dxa" w:w="400"/>
              <w:right w:type="dxa" w:w="200"/>
            </w:tcMar>
          </w:tcPr>
          <w:p>
            <w:r>
              <w:rPr>
                <w:rFonts w:ascii="Arial" w:cs="Arial" w:eastAsia="Arial" w:hAnsi="Arial"/>
                <w:b/>
                <w:bCs/>
                <w:sz w:val="20"/>
                <w:szCs w:val="20"/>
              </w:rPr>
              <w:t xml:space="preserve">For and on behalf of NHAI</w:t>
            </w:r>
          </w:p>
          <w:p>
            <w:pPr>
              <w:spacing w:after="80" w:before="80"/>
            </w:pPr>
            <w:r>
              <w:t xml:space="preserve"/>
            </w:r>
          </w:p>
          <w:p>
            <w:pPr>
              <w:spacing w:after="80" w:before="80"/>
            </w:pPr>
            <w:r>
              <w:t xml:space="preserve"/>
            </w:r>
          </w:p>
          <w:p>
            <w:r>
              <w:rPr>
                <w:rFonts w:ascii="Arial" w:cs="Arial" w:eastAsia="Arial" w:hAnsi="Arial"/>
                <w:sz w:val="18"/>
                <w:szCs w:val="18"/>
              </w:rPr>
              <w:t xml:space="preserve">Signature: _______________________</w:t>
            </w:r>
          </w:p>
          <w:p>
            <w:r>
              <w:rPr>
                <w:rFonts w:ascii="Arial" w:cs="Arial" w:eastAsia="Arial" w:hAnsi="Arial"/>
                <w:sz w:val="18"/>
                <w:szCs w:val="18"/>
              </w:rPr>
              <w:t xml:space="preserve">Name: Er. Rajesh Kumar, IAS</w:t>
            </w:r>
          </w:p>
          <w:p>
            <w:r>
              <w:rPr>
                <w:rFonts w:ascii="Arial" w:cs="Arial" w:eastAsia="Arial" w:hAnsi="Arial"/>
                <w:sz w:val="18"/>
                <w:szCs w:val="18"/>
              </w:rPr>
              <w:t xml:space="preserve">Designation: Chief General Manager (Projects)</w:t>
            </w:r>
          </w:p>
          <w:p>
            <w:r>
              <w:rPr>
                <w:rFonts w:ascii="Arial" w:cs="Arial" w:eastAsia="Arial" w:hAnsi="Arial"/>
                <w:sz w:val="18"/>
                <w:szCs w:val="18"/>
              </w:rPr>
              <w:t xml:space="preserve">Date: _______________________</w:t>
            </w:r>
          </w:p>
          <w:p>
            <w:r>
              <w:rPr>
                <w:rFonts w:ascii="Arial" w:cs="Arial" w:eastAsia="Arial" w:hAnsi="Arial"/>
                <w:sz w:val="18"/>
                <w:szCs w:val="18"/>
              </w:rPr>
              <w:t xml:space="preserve">Seal:</w:t>
            </w:r>
          </w:p>
        </w:tc>
        <w:tc>
          <w:tcPr>
            <w:tcW w:type="dxa" w:w="4513"/>
            <w:tcBorders>
              <w:top w:val="single" w:color="CCCCCC" w:sz="1"/>
              <w:left w:val="single" w:color="CCCCCC" w:sz="1"/>
              <w:bottom w:val="single" w:color="CCCCCC" w:sz="1"/>
              <w:right w:val="single" w:color="CCCCCC" w:sz="1"/>
            </w:tcBorders>
            <w:tcMar>
              <w:top w:type="dxa" w:w="200"/>
              <w:left w:type="dxa" w:w="200"/>
              <w:bottom w:type="dxa" w:w="400"/>
              <w:right w:type="dxa" w:w="200"/>
            </w:tcMar>
          </w:tcPr>
          <w:p>
            <w:r>
              <w:rPr>
                <w:rFonts w:ascii="Arial" w:cs="Arial" w:eastAsia="Arial" w:hAnsi="Arial"/>
                <w:b/>
                <w:bCs/>
                <w:sz w:val="20"/>
                <w:szCs w:val="20"/>
              </w:rPr>
              <w:t xml:space="preserve">For and on behalf of M/s. Horizon Infratech Pvt. Ltd.</w:t>
            </w:r>
          </w:p>
          <w:p>
            <w:pPr>
              <w:spacing w:after="80" w:before="80"/>
            </w:pPr>
            <w:r>
              <w:t xml:space="preserve"/>
            </w:r>
          </w:p>
          <w:p>
            <w:pPr>
              <w:spacing w:after="80" w:before="80"/>
            </w:pPr>
            <w:r>
              <w:t xml:space="preserve"/>
            </w:r>
          </w:p>
          <w:p>
            <w:r>
              <w:rPr>
                <w:rFonts w:ascii="Arial" w:cs="Arial" w:eastAsia="Arial" w:hAnsi="Arial"/>
                <w:sz w:val="18"/>
                <w:szCs w:val="18"/>
              </w:rPr>
              <w:t xml:space="preserve">Signature: _______________________</w:t>
            </w:r>
          </w:p>
          <w:p>
            <w:r>
              <w:rPr>
                <w:rFonts w:ascii="Arial" w:cs="Arial" w:eastAsia="Arial" w:hAnsi="Arial"/>
                <w:sz w:val="18"/>
                <w:szCs w:val="18"/>
              </w:rPr>
              <w:t xml:space="preserve">Name: Mr. Suresh Patel</w:t>
            </w:r>
          </w:p>
          <w:p>
            <w:r>
              <w:rPr>
                <w:rFonts w:ascii="Arial" w:cs="Arial" w:eastAsia="Arial" w:hAnsi="Arial"/>
                <w:sz w:val="18"/>
                <w:szCs w:val="18"/>
              </w:rPr>
              <w:t xml:space="preserve">Designation: Managing Director</w:t>
            </w:r>
          </w:p>
          <w:p>
            <w:r>
              <w:rPr>
                <w:rFonts w:ascii="Arial" w:cs="Arial" w:eastAsia="Arial" w:hAnsi="Arial"/>
                <w:sz w:val="18"/>
                <w:szCs w:val="18"/>
              </w:rPr>
              <w:t xml:space="preserve">Date: _______________________</w:t>
            </w:r>
          </w:p>
          <w:p>
            <w:r>
              <w:rPr>
                <w:rFonts w:ascii="Arial" w:cs="Arial" w:eastAsia="Arial" w:hAnsi="Arial"/>
                <w:sz w:val="18"/>
                <w:szCs w:val="18"/>
              </w:rPr>
              <w:t xml:space="preserve">Seal: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2026-04-28T11:23:45.107Z</dcterms:created>
  <dcterms:modified xsi:type="dcterms:W3CDTF">2026-04-28T11:23:45.108Z</dcterms:modified>
</cp:coreProperties>
</file>

<file path=docProps/custom.xml><?xml version="1.0" encoding="utf-8"?>
<Properties xmlns="http://schemas.openxmlformats.org/officeDocument/2006/custom-properties" xmlns:vt="http://schemas.openxmlformats.org/officeDocument/2006/docPropsVTypes"/>
</file>