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MONTHLY PROGRESS REPORT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NH-44 Karnataka | 4-Laning KA-03 | Month 7 Report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C65911"/>
          <w:sz w:val="20"/>
          <w:szCs w:val="20"/>
        </w:rPr>
        <w:t xml:space="preserve">TEST SCENARIO B: AT-RISK PROJECT — Milestone-I just missed, LD accruing, slow recovery</w:t>
      </w:r>
    </w:p>
    <w:p>
      <w:pPr>
        <w:spacing w:after="60" w:before="60"/>
      </w:pPr>
      <w:r>
        <w:t xml:space="preserve"/>
      </w:r>
    </w:p>
    <w:p>
      <w:pPr>
        <w:pBdr>
          <w:bottom w:val="single" w:color="1F4E79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1 — PROJECT METADATA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Project Name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4-Laning of NH-44 from Km 220 to Km 260 (KA-03)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Agreement Number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NHAI/KA/EPC/2025/KA-03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Contract Type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EPC — NITI Aayog Model Agreement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Contract Value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INR 25,00,00,000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Contractor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M/s. Horizon Infratech Pvt. Ltd.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Engineer-in-Charge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Er. Pradeep Nair, Superintending Engineer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Reporting Period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2025-11-01 to 2025-11-30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Day Number (from Appointed Date)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214 of 730 (M-1 was due Day 204 — 10 days ago)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Scheduled Completion Date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2027-03-31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Approved EoT Date (if any)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Revised Completion Date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F4E79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2 — PHYSICAL &amp; FINANCIAL PROGRESS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1200"/>
        <w:gridCol w:w="1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Planned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Actual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Variance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Physical Progress to Date (%)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29.3%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18.4%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-10.9%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00000"/>
                <w:sz w:val="17"/>
                <w:szCs w:val="17"/>
              </w:rPr>
              <w:t xml:space="preserve">DELAYED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Cumulative Expenditure (₹ Lakhs)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742.00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612.50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-129.50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65911"/>
                <w:sz w:val="17"/>
                <w:szCs w:val="17"/>
              </w:rPr>
              <w:t xml:space="preserve">AT RISK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Financial Progress (%)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29.7%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24.5%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-5.2%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S-Curve Deviation: </w:t>
      </w: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-10.9% BELOW planned curve. Milestone-I missed by 10 days. Required recovery velocity is 0.187%/day vs current 0.086%/day.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Recovery Velocity Required (% per day): </w:t>
      </w: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0.187% per day (to recover M-2 by Day 401)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Current Velocity (% per day): </w:t>
      </w: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0.086% per day (INSUFFICIENT)</w:t>
      </w:r>
    </w:p>
    <w:p>
      <w:pPr>
        <w:spacing w:after="60" w:before="60"/>
      </w:pPr>
      <w:r>
        <w:t xml:space="preserve"/>
      </w:r>
    </w:p>
    <w:p>
      <w:pPr>
        <w:pBdr>
          <w:bottom w:val="single" w:color="1F4E79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3 — BoQ EXECUTION DATA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0"/>
        <w:gridCol w:w="1000"/>
        <w:gridCol w:w="1000"/>
        <w:gridCol w:w="1000"/>
        <w:gridCol w:w="1000"/>
        <w:gridCol w:w="5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BoQ Item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Unit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Total Qty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Prev Cum.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This Month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Cumulative</w:t>
            </w:r>
          </w:p>
        </w:tc>
        <w:tc>
          <w:tcPr>
            <w:tcW w:type="dxa" w:w="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% 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Earthwork Embankment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4,50,000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66,700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18,100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84,800</w:t>
            </w:r>
          </w:p>
        </w:tc>
        <w:tc>
          <w:tcPr>
            <w:tcW w:type="dxa" w:w="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18.8%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Granular Sub-Base (GSB)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85,000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3,800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1,200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5,000</w:t>
            </w:r>
          </w:p>
        </w:tc>
        <w:tc>
          <w:tcPr>
            <w:tcW w:type="dxa" w:w="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5.9%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M30 Concrete (Bridges)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1,310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1,600</w:t>
            </w:r>
          </w:p>
        </w:tc>
        <w:tc>
          <w:tcPr>
            <w:tcW w:type="dxa" w:w="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13.3%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Pile Foundation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4,200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900</w:t>
            </w:r>
          </w:p>
        </w:tc>
        <w:tc>
          <w:tcPr>
            <w:tcW w:type="dxa" w:w="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21.4%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WMM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72,000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F4E79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4 — MATERIAL RECONCILIATION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1200"/>
        <w:gridCol w:w="1200"/>
        <w:gridCol w:w="22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Material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Opening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Received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Consumed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Closing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Theoretical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Cement (bags)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1,660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3,800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4,100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1,360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4,150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Steel (MT)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Bitumen (MT)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F4E79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5 — LABOUR &amp; MACHINERY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Planned Skilled Labour (daily avg)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Actual Skilled Labour (daily avg)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54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Planned Unskilled Labour (daily avg)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Actual Unskilled Labour (daily avg)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Key Machinery Deployed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 Excavators (2 broken down), 2 Tipper Trucks, 1 Concrete Batching Plant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Machinery Idle Days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 days (2 excavators under repair since Day 200)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F4E79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6 — QUALITY ASSURANCE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900"/>
        <w:gridCol w:w="900"/>
        <w:gridCol w:w="900"/>
        <w:gridCol w:w="28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Test 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Material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Conducted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Passed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Failed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Remarks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Cube Strength (7-day)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M30 Concrete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 batch: 17.8 MPa — NCR-002 issued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Field Density 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Embankment Soil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 layer: 94.2% MDD — below 97% — NCR-003 issued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Slump 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M30 Concrete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Within range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NCRs Issued This Month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NCRs Pending Closure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RFIs Submitted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RFIs Pending Approval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F4E79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7 — EXTERNAL DISRUPTIONS &amp; HINDRANCE DATA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Working Days in Month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Days Lost to Rainfall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Days Lost to Other Hindrances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Daily Rainfall (avg mm)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11.2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Cumulative Rainfall this Month (mm)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67.2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Active Force Majeure Claim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None — rainfall within seasonal norms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Weather Anomaly Score (IMD)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0.28 — Within Normal Range (not FM-eligible)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F4E79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8 — RIGHT OF WAY &amp; UTILITIES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Total RoW Required (km)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40.0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RoW Handed Over (km)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36.8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RoW Pending (km)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3.2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Pending Chainage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Km 238.0 to Km 241.2 — District Collector notice issued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HT Power Lines Shifted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— 2 HT lines pending at Km 234 and Km 238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Utility Shifting Status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BESCOM advised 60-day timeline for HT line shifting — critical path impact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Tree Felling Clearance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F4E79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9 — GFC DRAWING STATUS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Total GFC Drawings Required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GFC Drawings Approved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GFC Drawings Pending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17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Critical Pending Drawing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Pier cap design for Bridge at Km 231 — submitted Day 182 (32 days pending)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F4E79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10 — RA BILL &amp; PAYMENT STATUS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RA Bill Number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RA-07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RA Bill Amount (₹ Lakhs)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48.50 Lakhs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RA Bill Submitted Date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2025-12-05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Previous Bill Payment Received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 (delayed)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Previous Bill Payment Date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2025-11-18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Payment Delay (days)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18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Cumulative LD Deducted (₹)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₹2,50,000 (for M-1 delay — 10 days × ₹25,000/day)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LD Cap Utilised (%)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3C"/>
                <w:sz w:val="17"/>
                <w:szCs w:val="17"/>
              </w:rPr>
              <w:t xml:space="preserve">1.0%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F4E79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11 — ACTIVE COMPLIANCE EVENTS</w:t>
      </w:r>
    </w:p>
    <w:p>
      <w:pPr>
        <w:pStyle w:val="ListParagraph"/>
        <w:numPr>
          <w:ilvl w:val="0"/>
          <w:numId w:val="{bullets-0}"/>
        </w:numPr>
        <w:spacing w:after="60" w:before="60"/>
      </w:pPr>
      <w:r>
        <w:rPr>
          <w:rFonts w:ascii="Arial" w:cs="Arial" w:eastAsia="Arial" w:hAnsi="Arial"/>
          <w:b/>
          <w:bCs/>
          <w:color w:val="C00000"/>
          <w:sz w:val="19"/>
          <w:szCs w:val="19"/>
        </w:rPr>
        <w:t xml:space="preserve">[HIGH]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C03_M1: </w:t>
      </w:r>
      <w:r>
        <w:rPr>
          <w:rFonts w:ascii="Arial" w:cs="Arial" w:eastAsia="Arial" w:hAnsi="Arial"/>
          <w:sz w:val="19"/>
          <w:szCs w:val="19"/>
        </w:rPr>
        <w:t xml:space="preserve">Milestone-I Missed — Day 204. Actual 18.4% vs required 20% — Article 10.3.1</w:t>
      </w:r>
    </w:p>
    <w:p>
      <w:pPr>
        <w:pStyle w:val="ListParagraph"/>
        <w:numPr>
          <w:ilvl w:val="0"/>
          <w:numId w:val="{bullets-0}"/>
        </w:numPr>
        <w:spacing w:after="60" w:before="60"/>
      </w:pPr>
      <w:r>
        <w:rPr>
          <w:rFonts w:ascii="Arial" w:cs="Arial" w:eastAsia="Arial" w:hAnsi="Arial"/>
          <w:b/>
          <w:bCs/>
          <w:color w:val="C00000"/>
          <w:sz w:val="19"/>
          <w:szCs w:val="19"/>
        </w:rPr>
        <w:t xml:space="preserve">[HIGH]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C07a: </w:t>
      </w:r>
      <w:r>
        <w:rPr>
          <w:rFonts w:ascii="Arial" w:cs="Arial" w:eastAsia="Arial" w:hAnsi="Arial"/>
          <w:sz w:val="19"/>
          <w:szCs w:val="19"/>
        </w:rPr>
        <w:t xml:space="preserve">NCR-002: Concrete cube strength failure (17.8 MPa) — Article 11.14</w:t>
      </w:r>
    </w:p>
    <w:p>
      <w:pPr>
        <w:pStyle w:val="ListParagraph"/>
        <w:numPr>
          <w:ilvl w:val="0"/>
          <w:numId w:val="{bullets-0}"/>
        </w:numPr>
        <w:spacing w:after="60" w:before="60"/>
      </w:pPr>
      <w:r>
        <w:rPr>
          <w:rFonts w:ascii="Arial" w:cs="Arial" w:eastAsia="Arial" w:hAnsi="Arial"/>
          <w:b/>
          <w:bCs/>
          <w:color w:val="C00000"/>
          <w:sz w:val="19"/>
          <w:szCs w:val="19"/>
        </w:rPr>
        <w:t xml:space="preserve">[HIGH]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C07b: </w:t>
      </w:r>
      <w:r>
        <w:rPr>
          <w:rFonts w:ascii="Arial" w:cs="Arial" w:eastAsia="Arial" w:hAnsi="Arial"/>
          <w:sz w:val="19"/>
          <w:szCs w:val="19"/>
        </w:rPr>
        <w:t xml:space="preserve">NCR-003: Embankment density failure (94.2% &lt; 97% MDD) — Article 11.14</w:t>
      </w:r>
    </w:p>
    <w:p>
      <w:pPr>
        <w:pStyle w:val="ListParagraph"/>
        <w:numPr>
          <w:ilvl w:val="0"/>
          <w:numId w:val="{bullets-0}"/>
        </w:numPr>
        <w:spacing w:after="60" w:before="60"/>
      </w:pPr>
      <w:r>
        <w:rPr>
          <w:rFonts w:ascii="Arial" w:cs="Arial" w:eastAsia="Arial" w:hAnsi="Arial"/>
          <w:b/>
          <w:bCs/>
          <w:color w:val="C65911"/>
          <w:sz w:val="19"/>
          <w:szCs w:val="19"/>
        </w:rPr>
        <w:t xml:space="preserve">[MEDIUM]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C06: </w:t>
      </w:r>
      <w:r>
        <w:rPr>
          <w:rFonts w:ascii="Arial" w:cs="Arial" w:eastAsia="Arial" w:hAnsi="Arial"/>
          <w:sz w:val="19"/>
          <w:szCs w:val="19"/>
        </w:rPr>
        <w:t xml:space="preserve">Labour utilisation at 63.5% — significantly below planned level — Article 10.1.1</w:t>
      </w:r>
    </w:p>
    <w:p>
      <w:pPr>
        <w:pStyle w:val="ListParagraph"/>
        <w:numPr>
          <w:ilvl w:val="0"/>
          <w:numId w:val="{bullets-0}"/>
        </w:numPr>
        <w:spacing w:after="60" w:before="60"/>
      </w:pPr>
      <w:r>
        <w:rPr>
          <w:rFonts w:ascii="Arial" w:cs="Arial" w:eastAsia="Arial" w:hAnsi="Arial"/>
          <w:b/>
          <w:bCs/>
          <w:color w:val="C65911"/>
          <w:sz w:val="19"/>
          <w:szCs w:val="19"/>
        </w:rPr>
        <w:t xml:space="preserve">[MEDIUM]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C08: </w:t>
      </w:r>
      <w:r>
        <w:rPr>
          <w:rFonts w:ascii="Arial" w:cs="Arial" w:eastAsia="Arial" w:hAnsi="Arial"/>
          <w:sz w:val="19"/>
          <w:szCs w:val="19"/>
        </w:rPr>
        <w:t xml:space="preserve">17 GFC Drawings pending — critical path blockage identified — Article 20</w:t>
      </w:r>
    </w:p>
    <w:p>
      <w:pPr>
        <w:pStyle w:val="ListParagraph"/>
        <w:numPr>
          <w:ilvl w:val="0"/>
          <w:numId w:val="{bullets-0}"/>
        </w:numPr>
        <w:spacing w:after="60" w:before="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[LOW]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C13: </w:t>
      </w:r>
      <w:r>
        <w:rPr>
          <w:rFonts w:ascii="Arial" w:cs="Arial" w:eastAsia="Arial" w:hAnsi="Arial"/>
          <w:sz w:val="19"/>
          <w:szCs w:val="19"/>
        </w:rPr>
        <w:t xml:space="preserve">RA-06 Bill payment delayed 18 days — authority default risk — Article 22.2</w:t>
      </w:r>
    </w:p>
    <w:p>
      <w:pPr>
        <w:spacing w:after="60" w:before="60"/>
      </w:pPr>
      <w:r>
        <w:t xml:space="preserve"/>
      </w:r>
    </w:p>
    <w:p>
      <w:pPr>
        <w:pBdr>
          <w:bottom w:val="single" w:color="1F4E79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12 — RISK ASSESSMENT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Current Risk Score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0.74 / 1.00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Risk Label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Top Risk Factor #1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S-curve deviation -10.9% — widening gap, no sign of recovery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Top Risk Factor #2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Machinery breakdown (2 excavators) — 14 idle days severely impacted earthwork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Top Risk Factor #3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 open NCRs blocking payment certification for affected works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Forecast: Next Milestone Achievement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M-1 formally missed. M-2 (Day 401) at HIGH risk — requires doubling of current velocity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F4E79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13 — RECOMMENDATIONS &amp; ACTIONS</w:t>
      </w:r>
    </w:p>
    <w:p>
      <w:pPr>
        <w:pStyle w:val="ListParagraph"/>
        <w:numPr>
          <w:ilvl w:val="0"/>
          <w:numId w:val="{numbers-0}"/>
        </w:numPr>
        <w:spacing w:after="50" w:before="50"/>
      </w:pPr>
      <w:r>
        <w:rPr>
          <w:rFonts w:ascii="Arial" w:cs="Arial" w:eastAsia="Arial" w:hAnsi="Arial"/>
          <w:sz w:val="19"/>
          <w:szCs w:val="19"/>
        </w:rPr>
        <w:t xml:space="preserve">URGENT: Repair or replace the 2 broken excavators immediately — earthwork is the critical path.</w:t>
      </w:r>
    </w:p>
    <w:p>
      <w:pPr>
        <w:pStyle w:val="ListParagraph"/>
        <w:numPr>
          <w:ilvl w:val="0"/>
          <w:numId w:val="{numbers-0}"/>
        </w:numPr>
        <w:spacing w:after="50" w:before="50"/>
      </w:pPr>
      <w:r>
        <w:rPr>
          <w:rFonts w:ascii="Arial" w:cs="Arial" w:eastAsia="Arial" w:hAnsi="Arial"/>
          <w:sz w:val="19"/>
          <w:szCs w:val="19"/>
        </w:rPr>
        <w:t xml:space="preserve">URGENT: Increase skilled labour to at least 85/day — current level (54) is 36% below plan.</w:t>
      </w:r>
    </w:p>
    <w:p>
      <w:pPr>
        <w:pStyle w:val="ListParagraph"/>
        <w:numPr>
          <w:ilvl w:val="0"/>
          <w:numId w:val="{numbers-0}"/>
        </w:numPr>
        <w:spacing w:after="50" w:before="50"/>
      </w:pPr>
      <w:r>
        <w:rPr>
          <w:rFonts w:ascii="Arial" w:cs="Arial" w:eastAsia="Arial" w:hAnsi="Arial"/>
          <w:sz w:val="19"/>
          <w:szCs w:val="19"/>
        </w:rPr>
        <w:t xml:space="preserve">Issue formal hindrance entry for HT line delay at Km 234 and 238 — file EoT application within 14 days.</w:t>
      </w:r>
    </w:p>
    <w:p>
      <w:pPr>
        <w:pStyle w:val="ListParagraph"/>
        <w:numPr>
          <w:ilvl w:val="0"/>
          <w:numId w:val="{numbers-0}"/>
        </w:numPr>
        <w:spacing w:after="50" w:before="50"/>
      </w:pPr>
      <w:r>
        <w:rPr>
          <w:rFonts w:ascii="Arial" w:cs="Arial" w:eastAsia="Arial" w:hAnsi="Arial"/>
          <w:sz w:val="19"/>
          <w:szCs w:val="19"/>
        </w:rPr>
        <w:t xml:space="preserve">Escalate GFC drawing approval for Bridge at Km 231 to Authority's Engineer — 32 days pending is unacceptable.</w:t>
      </w:r>
    </w:p>
    <w:p>
      <w:pPr>
        <w:pStyle w:val="ListParagraph"/>
        <w:numPr>
          <w:ilvl w:val="0"/>
          <w:numId w:val="{numbers-0}"/>
        </w:numPr>
        <w:spacing w:after="50" w:before="50"/>
      </w:pPr>
      <w:r>
        <w:rPr>
          <w:rFonts w:ascii="Arial" w:cs="Arial" w:eastAsia="Arial" w:hAnsi="Arial"/>
          <w:sz w:val="19"/>
          <w:szCs w:val="19"/>
        </w:rPr>
        <w:t xml:space="preserve">Close NCR-002 and NCR-003 within 15 days to unblock payment certification.</w:t>
      </w:r>
    </w:p>
    <w:p>
      <w:pPr>
        <w:pStyle w:val="ListParagraph"/>
        <w:numPr>
          <w:ilvl w:val="0"/>
          <w:numId w:val="{numbers-0}"/>
        </w:numPr>
        <w:spacing w:after="50" w:before="50"/>
      </w:pPr>
      <w:r>
        <w:rPr>
          <w:rFonts w:ascii="Arial" w:cs="Arial" w:eastAsia="Arial" w:hAnsi="Arial"/>
          <w:sz w:val="19"/>
          <w:szCs w:val="19"/>
        </w:rPr>
        <w:t xml:space="preserve">Raise formal dispute on delayed RA-06 payment — 18 days late, interest applicable per Article 22.2.</w:t>
      </w:r>
    </w:p>
    <w:p>
      <w:pPr>
        <w:pStyle w:val="ListParagraph"/>
        <w:numPr>
          <w:ilvl w:val="0"/>
          <w:numId w:val="{numbers-0}"/>
        </w:numPr>
        <w:spacing w:after="50" w:before="50"/>
      </w:pPr>
      <w:r>
        <w:rPr>
          <w:rFonts w:ascii="Arial" w:cs="Arial" w:eastAsia="Arial" w:hAnsi="Arial"/>
          <w:sz w:val="19"/>
          <w:szCs w:val="19"/>
        </w:rPr>
        <w:t xml:space="preserve">LD accruing at ₹25,000/day — catch-up refund possible if M-SCD achieved on time (Article 10.3.3).</w:t>
      </w:r>
    </w:p>
    <w:p>
      <w:pPr>
        <w:spacing w:after="60" w:before="60"/>
      </w:pPr>
      <w:r>
        <w:t xml:space="preserve"/>
      </w:r>
    </w:p>
    <w:p>
      <w:pPr>
        <w:pBdr>
          <w:bottom w:val="single" w:color="1F4E79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14 — CERTIFICATION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Reported By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Er. Anand Sharma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Designation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Junior Engineer (Civil)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Verified By (AE/JE)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Er. Meera Iyer (AE)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Report Date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2025-12-03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Engineer-in-Charge Approval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Pending / Approved</w:t>
            </w:r>
          </w:p>
        </w:tc>
      </w:tr>
    </w:tbl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2026-04-28T11:28:08.418Z</dcterms:created>
  <dcterms:modified xsi:type="dcterms:W3CDTF">2026-04-28T11:28:08.418Z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