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Money Leak Round 1 PRD</w:t>
      </w:r>
    </w:p>
    <w:p>
      <w:r>
        <w:rPr>
          <w:i/>
        </w:rPr>
        <w:t>Two hour hackathon MVP  |  Prototype target: OpenCode plus Streamlit or equivalent rapid local web UI</w:t>
      </w:r>
    </w:p>
    <w:p>
      <w:pPr>
        <w:spacing w:after="80"/>
      </w:pPr>
      <w:r>
        <w:t>Build a manager-facing investigation dashboard that identifies one plausible revenue or operational leak, shows the evidence behind it, and recommends one next action. The Round 1 goal is a reliable demo slice, not a complete analytics platform.</w:t>
      </w:r>
    </w:p>
    <w:p>
      <w:pPr>
        <w:pStyle w:val="Heading1"/>
      </w:pPr>
      <w:r>
        <w:t>1 Product goal and MVP scope</w:t>
      </w:r>
    </w:p>
    <w:tbl>
      <w:tblPr>
        <w:tblStyle w:val="TableGrid"/>
        <w:tblW w:type="auto" w:w="0"/>
        <w:jc w:val="center"/>
        <w:tblLook w:firstColumn="1" w:firstRow="1" w:lastColumn="0" w:lastRow="0" w:noHBand="0" w:noVBand="1" w:val="04A0"/>
      </w:tblPr>
      <w:tblGrid>
        <w:gridCol w:w="5083"/>
        <w:gridCol w:w="5083"/>
      </w:tblGrid>
      <w:tr>
        <w:tc>
          <w:tcPr>
            <w:tcW w:type="dxa" w:w="2088"/>
            <w:vAlign w:val="center"/>
            <w:shd w:fill="17365D"/>
          </w:tcPr>
          <w:p>
            <w:pPr>
              <w:spacing w:after="0"/>
            </w:pPr>
            <w:r>
              <w:rPr>
                <w:b/>
                <w:color w:val="FFFFFF"/>
                <w:sz w:val="17"/>
              </w:rPr>
              <w:t>Item</w:t>
            </w:r>
          </w:p>
        </w:tc>
        <w:tc>
          <w:tcPr>
            <w:tcW w:type="dxa" w:w="8208"/>
            <w:vAlign w:val="center"/>
            <w:shd w:fill="17365D"/>
          </w:tcPr>
          <w:p>
            <w:pPr>
              <w:spacing w:after="0"/>
            </w:pPr>
            <w:r>
              <w:rPr>
                <w:b/>
                <w:color w:val="FFFFFF"/>
                <w:sz w:val="17"/>
              </w:rPr>
              <w:t>Round 1 decision</w:t>
            </w:r>
          </w:p>
        </w:tc>
      </w:tr>
      <w:tr>
        <w:tc>
          <w:tcPr>
            <w:tcW w:type="dxa" w:w="2088"/>
            <w:vAlign w:val="center"/>
          </w:tcPr>
          <w:p>
            <w:pPr>
              <w:spacing w:after="0"/>
            </w:pPr>
            <w:r>
              <w:rPr>
                <w:b w:val="0"/>
                <w:sz w:val="17"/>
              </w:rPr>
              <w:t>Primary user</w:t>
            </w:r>
          </w:p>
        </w:tc>
        <w:tc>
          <w:tcPr>
            <w:tcW w:type="dxa" w:w="8208"/>
            <w:vAlign w:val="center"/>
          </w:tcPr>
          <w:p>
            <w:pPr>
              <w:spacing w:after="0"/>
            </w:pPr>
            <w:r>
              <w:rPr>
                <w:b w:val="0"/>
                <w:sz w:val="17"/>
              </w:rPr>
              <w:t>Retail or business manager reviewing a performance problem.</w:t>
            </w:r>
          </w:p>
        </w:tc>
      </w:tr>
      <w:tr>
        <w:tc>
          <w:tcPr>
            <w:tcW w:type="dxa" w:w="2088"/>
            <w:vAlign w:val="center"/>
            <w:shd w:fill="EDF3F8"/>
          </w:tcPr>
          <w:p>
            <w:pPr>
              <w:spacing w:after="0"/>
            </w:pPr>
            <w:r>
              <w:rPr>
                <w:b w:val="0"/>
                <w:sz w:val="17"/>
              </w:rPr>
              <w:t>Core question</w:t>
            </w:r>
          </w:p>
        </w:tc>
        <w:tc>
          <w:tcPr>
            <w:tcW w:type="dxa" w:w="8208"/>
            <w:vAlign w:val="center"/>
            <w:shd w:fill="EDF3F8"/>
          </w:tcPr>
          <w:p>
            <w:pPr>
              <w:spacing w:after="0"/>
            </w:pPr>
            <w:r>
              <w:rPr>
                <w:b w:val="0"/>
                <w:sz w:val="17"/>
              </w:rPr>
              <w:t>What is going wrong, what evidence supports it, and what should I check or do next?</w:t>
            </w:r>
          </w:p>
        </w:tc>
      </w:tr>
      <w:tr>
        <w:tc>
          <w:tcPr>
            <w:tcW w:type="dxa" w:w="2088"/>
            <w:vAlign w:val="center"/>
          </w:tcPr>
          <w:p>
            <w:pPr>
              <w:spacing w:after="0"/>
            </w:pPr>
            <w:r>
              <w:rPr>
                <w:b w:val="0"/>
                <w:sz w:val="17"/>
              </w:rPr>
              <w:t>MVP promise</w:t>
            </w:r>
          </w:p>
        </w:tc>
        <w:tc>
          <w:tcPr>
            <w:tcW w:type="dxa" w:w="8208"/>
            <w:vAlign w:val="center"/>
          </w:tcPr>
          <w:p>
            <w:pPr>
              <w:spacing w:after="0"/>
            </w:pPr>
            <w:r>
              <w:rPr>
                <w:b w:val="0"/>
                <w:sz w:val="17"/>
              </w:rPr>
              <w:t>Load provided CSVs, compute schema-adapted metrics, flag up to three leaks, and drill into one prioritized leak.</w:t>
            </w:r>
          </w:p>
        </w:tc>
      </w:tr>
      <w:tr>
        <w:tc>
          <w:tcPr>
            <w:tcW w:type="dxa" w:w="2088"/>
            <w:vAlign w:val="center"/>
            <w:shd w:fill="EDF3F8"/>
          </w:tcPr>
          <w:p>
            <w:pPr>
              <w:spacing w:after="0"/>
            </w:pPr>
            <w:r>
              <w:rPr>
                <w:b w:val="0"/>
                <w:sz w:val="17"/>
              </w:rPr>
              <w:t>Demo success</w:t>
            </w:r>
          </w:p>
        </w:tc>
        <w:tc>
          <w:tcPr>
            <w:tcW w:type="dxa" w:w="8208"/>
            <w:vAlign w:val="center"/>
            <w:shd w:fill="EDF3F8"/>
          </w:tcPr>
          <w:p>
            <w:pPr>
              <w:spacing w:after="0"/>
            </w:pPr>
            <w:r>
              <w:rPr>
                <w:b w:val="0"/>
                <w:sz w:val="17"/>
              </w:rPr>
              <w:t>A judge can upload/select data, see a prioritized alert, inspect supporting breakdowns, and understand the recommended action in under 90 seconds.</w:t>
            </w:r>
          </w:p>
        </w:tc>
      </w:tr>
    </w:tbl>
    <w:p>
      <w:pPr>
        <w:spacing w:after="40"/>
      </w:pPr>
    </w:p>
    <w:p>
      <w:pPr>
        <w:spacing w:after="80"/>
      </w:pPr>
      <w:r>
        <w:t>The MVP should favor deterministic rules and transparent calculations. Add lightweight anomaly scoring only if the deterministic flow is complete and tested.</w:t>
      </w:r>
    </w:p>
    <w:p>
      <w:pPr>
        <w:pStyle w:val="Heading1"/>
      </w:pPr>
      <w:r>
        <w:t>2 Required schema first workflow</w:t>
      </w:r>
    </w:p>
    <w:p>
      <w:pPr>
        <w:spacing w:after="80"/>
      </w:pPr>
      <w:r>
        <w:t>Before writing business logic, inspect every available CSV: filename, row count, exact column names, data types, null rate, date range, unique IDs, status values, and sample rows. Build a small field-mapping layer from discovered columns; never hard-code unverified names such as revenue, price, return_date, customer_id, or stock_on_hand.</w:t>
      </w:r>
    </w:p>
    <w:p>
      <w:pPr>
        <w:pStyle w:val="ListBullet"/>
        <w:spacing w:after="20"/>
      </w:pPr>
      <w:r>
        <w:t>Create a data profile page or startup log that exposes the discovered mapping and excludes files that cannot be safely joined.</w:t>
      </w:r>
    </w:p>
    <w:p>
      <w:pPr>
        <w:pStyle w:val="ListBullet"/>
        <w:spacing w:after="20"/>
      </w:pPr>
      <w:r>
        <w:t>For each required concept, choose only a verified source field: transaction/order ID, product key, customer key, date, quantity, status, amount, campaign key, inventory snapshot date, and on-hand quantity.</w:t>
      </w:r>
    </w:p>
    <w:p>
      <w:pPr>
        <w:pStyle w:val="ListBullet"/>
        <w:spacing w:after="20"/>
      </w:pPr>
      <w:r>
        <w:t>If a concept is absent, hide the dependent metric/rule and label it Unavailable in the UI; do not infer it from unrelated fields.</w:t>
      </w:r>
    </w:p>
    <w:p>
      <w:pPr>
        <w:pStyle w:val="ListBullet"/>
        <w:spacing w:after="20"/>
      </w:pPr>
      <w:r>
        <w:t>Parse dates with error handling; normalize keys as trimmed strings; report unmatched join rates. Do not silently duplicate transaction rows during joins.</w:t>
      </w:r>
    </w:p>
    <w:p>
      <w:pPr>
        <w:pStyle w:val="Heading1"/>
      </w:pPr>
      <w:r>
        <w:t>3 Data model and safe joins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7365D"/>
          </w:tcPr>
          <w:p>
            <w:pPr>
              <w:spacing w:after="0"/>
            </w:pPr>
            <w:r>
              <w:rPr>
                <w:b/>
                <w:color w:val="FFFFFF"/>
                <w:sz w:val="17"/>
              </w:rPr>
              <w:t>Likely file role</w:t>
            </w:r>
          </w:p>
        </w:tc>
        <w:tc>
          <w:tcPr>
            <w:tcW w:type="dxa" w:w="5184"/>
            <w:vAlign w:val="center"/>
            <w:shd w:fill="17365D"/>
          </w:tcPr>
          <w:p>
            <w:pPr>
              <w:spacing w:after="0"/>
            </w:pPr>
            <w:r>
              <w:rPr>
                <w:b/>
                <w:color w:val="FFFFFF"/>
                <w:sz w:val="17"/>
              </w:rPr>
              <w:t>Join rule</w:t>
            </w:r>
          </w:p>
        </w:tc>
        <w:tc>
          <w:tcPr>
            <w:tcW w:type="dxa" w:w="2952"/>
            <w:vAlign w:val="center"/>
            <w:shd w:fill="17365D"/>
          </w:tcPr>
          <w:p>
            <w:pPr>
              <w:spacing w:after="0"/>
            </w:pPr>
            <w:r>
              <w:rPr>
                <w:b/>
                <w:color w:val="FFFFFF"/>
                <w:sz w:val="17"/>
              </w:rPr>
              <w:t>Safe fallback</w:t>
            </w:r>
          </w:p>
        </w:tc>
      </w:tr>
      <w:tr>
        <w:tc>
          <w:tcPr>
            <w:tcW w:type="dxa" w:w="2160"/>
            <w:vAlign w:val="center"/>
          </w:tcPr>
          <w:p>
            <w:pPr>
              <w:spacing w:after="0"/>
            </w:pPr>
            <w:r>
              <w:rPr>
                <w:b w:val="0"/>
                <w:sz w:val="17"/>
              </w:rPr>
              <w:t>Transactions or orders</w:t>
            </w:r>
          </w:p>
        </w:tc>
        <w:tc>
          <w:tcPr>
            <w:tcW w:type="dxa" w:w="5184"/>
            <w:vAlign w:val="center"/>
          </w:tcPr>
          <w:p>
            <w:pPr>
              <w:spacing w:after="0"/>
            </w:pPr>
            <w:r>
              <w:rPr>
                <w:b w:val="0"/>
                <w:sz w:val="17"/>
              </w:rPr>
              <w:t>Base grain: one row per order line or transaction. Join products/customers by verified keys.</w:t>
            </w:r>
          </w:p>
        </w:tc>
        <w:tc>
          <w:tcPr>
            <w:tcW w:type="dxa" w:w="2952"/>
            <w:vAlign w:val="center"/>
          </w:tcPr>
          <w:p>
            <w:pPr>
              <w:spacing w:after="0"/>
            </w:pPr>
            <w:r>
              <w:rPr>
                <w:b w:val="0"/>
                <w:sz w:val="17"/>
              </w:rPr>
              <w:t>If order ID is absent, aggregate only at the observed row grain and label it accordingly.</w:t>
            </w:r>
          </w:p>
        </w:tc>
      </w:tr>
      <w:tr>
        <w:tc>
          <w:tcPr>
            <w:tcW w:type="dxa" w:w="2160"/>
            <w:vAlign w:val="center"/>
            <w:shd w:fill="EDF3F8"/>
          </w:tcPr>
          <w:p>
            <w:pPr>
              <w:spacing w:after="0"/>
            </w:pPr>
            <w:r>
              <w:rPr>
                <w:b w:val="0"/>
                <w:sz w:val="17"/>
              </w:rPr>
              <w:t>Products</w:t>
            </w:r>
          </w:p>
        </w:tc>
        <w:tc>
          <w:tcPr>
            <w:tcW w:type="dxa" w:w="5184"/>
            <w:vAlign w:val="center"/>
            <w:shd w:fill="EDF3F8"/>
          </w:tcPr>
          <w:p>
            <w:pPr>
              <w:spacing w:after="0"/>
            </w:pPr>
            <w:r>
              <w:rPr>
                <w:b w:val="0"/>
                <w:sz w:val="17"/>
              </w:rPr>
              <w:t>Many transaction rows to one product row using verified product/SKU key.</w:t>
            </w:r>
          </w:p>
        </w:tc>
        <w:tc>
          <w:tcPr>
            <w:tcW w:type="dxa" w:w="2952"/>
            <w:vAlign w:val="center"/>
            <w:shd w:fill="EDF3F8"/>
          </w:tcPr>
          <w:p>
            <w:pPr>
              <w:spacing w:after="0"/>
            </w:pPr>
            <w:r>
              <w:rPr>
                <w:b w:val="0"/>
                <w:sz w:val="17"/>
              </w:rPr>
              <w:t>Skip product breakdown if key is not unique or not present.</w:t>
            </w:r>
          </w:p>
        </w:tc>
      </w:tr>
      <w:tr>
        <w:tc>
          <w:tcPr>
            <w:tcW w:type="dxa" w:w="2160"/>
            <w:vAlign w:val="center"/>
          </w:tcPr>
          <w:p>
            <w:pPr>
              <w:spacing w:after="0"/>
            </w:pPr>
            <w:r>
              <w:rPr>
                <w:b w:val="0"/>
                <w:sz w:val="17"/>
              </w:rPr>
              <w:t>Customers</w:t>
            </w:r>
          </w:p>
        </w:tc>
        <w:tc>
          <w:tcPr>
            <w:tcW w:type="dxa" w:w="5184"/>
            <w:vAlign w:val="center"/>
          </w:tcPr>
          <w:p>
            <w:pPr>
              <w:spacing w:after="0"/>
            </w:pPr>
            <w:r>
              <w:rPr>
                <w:b w:val="0"/>
                <w:sz w:val="17"/>
              </w:rPr>
              <w:t>Many transactions to one customer row using verified customer key.</w:t>
            </w:r>
          </w:p>
        </w:tc>
        <w:tc>
          <w:tcPr>
            <w:tcW w:type="dxa" w:w="2952"/>
            <w:vAlign w:val="center"/>
          </w:tcPr>
          <w:p>
            <w:pPr>
              <w:spacing w:after="0"/>
            </w:pPr>
            <w:r>
              <w:rPr>
                <w:b w:val="0"/>
                <w:sz w:val="17"/>
              </w:rPr>
              <w:t>Skip customer breakdown if unavailable.</w:t>
            </w:r>
          </w:p>
        </w:tc>
      </w:tr>
      <w:tr>
        <w:tc>
          <w:tcPr>
            <w:tcW w:type="dxa" w:w="2160"/>
            <w:vAlign w:val="center"/>
            <w:shd w:fill="EDF3F8"/>
          </w:tcPr>
          <w:p>
            <w:pPr>
              <w:spacing w:after="0"/>
            </w:pPr>
            <w:r>
              <w:rPr>
                <w:b w:val="0"/>
                <w:sz w:val="17"/>
              </w:rPr>
              <w:t>Inventory snapshots</w:t>
            </w:r>
          </w:p>
        </w:tc>
        <w:tc>
          <w:tcPr>
            <w:tcW w:type="dxa" w:w="5184"/>
            <w:vAlign w:val="center"/>
            <w:shd w:fill="EDF3F8"/>
          </w:tcPr>
          <w:p>
            <w:pPr>
              <w:spacing w:after="0"/>
            </w:pPr>
            <w:r>
              <w:rPr>
                <w:b w:val="0"/>
                <w:sz w:val="17"/>
              </w:rPr>
              <w:t>Join product key; select latest snapshot on or before analysis date where feasible.</w:t>
            </w:r>
          </w:p>
        </w:tc>
        <w:tc>
          <w:tcPr>
            <w:tcW w:type="dxa" w:w="2952"/>
            <w:vAlign w:val="center"/>
            <w:shd w:fill="EDF3F8"/>
          </w:tcPr>
          <w:p>
            <w:pPr>
              <w:spacing w:after="0"/>
            </w:pPr>
            <w:r>
              <w:rPr>
                <w:b w:val="0"/>
                <w:sz w:val="17"/>
              </w:rPr>
              <w:t>Show inventory separately if date grain cannot be aligned.</w:t>
            </w:r>
          </w:p>
        </w:tc>
      </w:tr>
      <w:tr>
        <w:tc>
          <w:tcPr>
            <w:tcW w:type="dxa" w:w="2160"/>
            <w:vAlign w:val="center"/>
          </w:tcPr>
          <w:p>
            <w:pPr>
              <w:spacing w:after="0"/>
            </w:pPr>
            <w:r>
              <w:rPr>
                <w:b w:val="0"/>
                <w:sz w:val="17"/>
              </w:rPr>
              <w:t>Campaigns</w:t>
            </w:r>
          </w:p>
        </w:tc>
        <w:tc>
          <w:tcPr>
            <w:tcW w:type="dxa" w:w="5184"/>
            <w:vAlign w:val="center"/>
          </w:tcPr>
          <w:p>
            <w:pPr>
              <w:spacing w:after="0"/>
            </w:pPr>
            <w:r>
              <w:rPr>
                <w:b w:val="0"/>
                <w:sz w:val="17"/>
              </w:rPr>
              <w:t>Join campaign key only when present in both sources.</w:t>
            </w:r>
          </w:p>
        </w:tc>
        <w:tc>
          <w:tcPr>
            <w:tcW w:type="dxa" w:w="2952"/>
            <w:vAlign w:val="center"/>
          </w:tcPr>
          <w:p>
            <w:pPr>
              <w:spacing w:after="0"/>
            </w:pPr>
            <w:r>
              <w:rPr>
                <w:b w:val="0"/>
                <w:sz w:val="17"/>
              </w:rPr>
              <w:t>Show campaign metrics independently; never fabricate attribution.</w:t>
            </w:r>
          </w:p>
        </w:tc>
      </w:tr>
    </w:tbl>
    <w:p>
      <w:pPr>
        <w:spacing w:after="40"/>
      </w:pPr>
    </w:p>
    <w:p>
      <w:pPr>
        <w:spacing w:after="80"/>
      </w:pPr>
      <w:r>
        <w:t>Join safeguards: validate dimension keys are unique before merging; preserve the transaction row count after each merge; calculate and display unmatched percentages; use left joins from transactions; avoid summing dimension fields after a one-to-many merge.</w:t>
      </w:r>
    </w:p>
    <w:p>
      <w:pPr>
        <w:pStyle w:val="Heading1"/>
      </w:pPr>
      <w:r>
        <w:t>4 Metric definitions and synthetic data safeguards</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0"/>
            </w:pPr>
            <w:r>
              <w:rPr>
                <w:b/>
                <w:color w:val="FFFFFF"/>
                <w:sz w:val="17"/>
              </w:rPr>
              <w:t>Metric</w:t>
            </w:r>
          </w:p>
        </w:tc>
        <w:tc>
          <w:tcPr>
            <w:tcW w:type="dxa" w:w="5256"/>
            <w:vAlign w:val="center"/>
            <w:shd w:fill="17365D"/>
          </w:tcPr>
          <w:p>
            <w:pPr>
              <w:spacing w:after="0"/>
            </w:pPr>
            <w:r>
              <w:rPr>
                <w:b/>
                <w:color w:val="FFFFFF"/>
                <w:sz w:val="17"/>
              </w:rPr>
              <w:t>Definition</w:t>
            </w:r>
          </w:p>
        </w:tc>
        <w:tc>
          <w:tcPr>
            <w:tcW w:type="dxa" w:w="3096"/>
            <w:vAlign w:val="center"/>
            <w:shd w:fill="17365D"/>
          </w:tcPr>
          <w:p>
            <w:pPr>
              <w:spacing w:after="0"/>
            </w:pPr>
            <w:r>
              <w:rPr>
                <w:b/>
                <w:color w:val="FFFFFF"/>
                <w:sz w:val="17"/>
              </w:rPr>
              <w:t>Guardrail</w:t>
            </w:r>
          </w:p>
        </w:tc>
      </w:tr>
      <w:tr>
        <w:tc>
          <w:tcPr>
            <w:tcW w:type="dxa" w:w="1944"/>
            <w:vAlign w:val="center"/>
          </w:tcPr>
          <w:p>
            <w:pPr>
              <w:spacing w:after="0"/>
            </w:pPr>
            <w:r>
              <w:rPr>
                <w:b w:val="0"/>
                <w:sz w:val="17"/>
              </w:rPr>
              <w:t>Gross sales</w:t>
            </w:r>
          </w:p>
        </w:tc>
        <w:tc>
          <w:tcPr>
            <w:tcW w:type="dxa" w:w="5256"/>
            <w:vAlign w:val="center"/>
          </w:tcPr>
          <w:p>
            <w:pPr>
              <w:spacing w:after="0"/>
            </w:pPr>
            <w:r>
              <w:rPr>
                <w:b w:val="0"/>
                <w:sz w:val="17"/>
              </w:rPr>
              <w:t>Sum of verified transaction amount before returns/cancellations only if the field/status semantics support it.</w:t>
            </w:r>
          </w:p>
        </w:tc>
        <w:tc>
          <w:tcPr>
            <w:tcW w:type="dxa" w:w="3096"/>
            <w:vAlign w:val="center"/>
          </w:tcPr>
          <w:p>
            <w:pPr>
              <w:spacing w:after="0"/>
            </w:pPr>
            <w:r>
              <w:rPr>
                <w:b w:val="0"/>
                <w:sz w:val="17"/>
              </w:rPr>
              <w:t>Do not call a generic amount field sales until inspected; label the chosen field.</w:t>
            </w:r>
          </w:p>
        </w:tc>
      </w:tr>
      <w:tr>
        <w:tc>
          <w:tcPr>
            <w:tcW w:type="dxa" w:w="1944"/>
            <w:vAlign w:val="center"/>
            <w:shd w:fill="EDF3F8"/>
          </w:tcPr>
          <w:p>
            <w:pPr>
              <w:spacing w:after="0"/>
            </w:pPr>
            <w:r>
              <w:rPr>
                <w:b w:val="0"/>
                <w:sz w:val="17"/>
              </w:rPr>
              <w:t>Net realized revenue</w:t>
            </w:r>
          </w:p>
        </w:tc>
        <w:tc>
          <w:tcPr>
            <w:tcW w:type="dxa" w:w="5256"/>
            <w:vAlign w:val="center"/>
            <w:shd w:fill="EDF3F8"/>
          </w:tcPr>
          <w:p>
            <w:pPr>
              <w:spacing w:after="0"/>
            </w:pPr>
            <w:r>
              <w:rPr>
                <w:b w:val="0"/>
                <w:sz w:val="17"/>
              </w:rPr>
              <w:t>Gross sales minus confirmed return/refund amounts and cancelled order value, only when those values/statuses are available.</w:t>
            </w:r>
          </w:p>
        </w:tc>
        <w:tc>
          <w:tcPr>
            <w:tcW w:type="dxa" w:w="3096"/>
            <w:vAlign w:val="center"/>
            <w:shd w:fill="EDF3F8"/>
          </w:tcPr>
          <w:p>
            <w:pPr>
              <w:spacing w:after="0"/>
            </w:pPr>
            <w:r>
              <w:rPr>
                <w:b w:val="0"/>
                <w:sz w:val="17"/>
              </w:rPr>
              <w:t>Do not subtract a returned order twice; use mutually exclusive status logic.</w:t>
            </w:r>
          </w:p>
        </w:tc>
      </w:tr>
      <w:tr>
        <w:tc>
          <w:tcPr>
            <w:tcW w:type="dxa" w:w="1944"/>
            <w:vAlign w:val="center"/>
          </w:tcPr>
          <w:p>
            <w:pPr>
              <w:spacing w:after="0"/>
            </w:pPr>
            <w:r>
              <w:rPr>
                <w:b w:val="0"/>
                <w:sz w:val="17"/>
              </w:rPr>
              <w:t>Cancellation rate</w:t>
            </w:r>
          </w:p>
        </w:tc>
        <w:tc>
          <w:tcPr>
            <w:tcW w:type="dxa" w:w="5256"/>
            <w:vAlign w:val="center"/>
          </w:tcPr>
          <w:p>
            <w:pPr>
              <w:spacing w:after="0"/>
            </w:pPr>
            <w:r>
              <w:rPr>
                <w:b w:val="0"/>
                <w:sz w:val="17"/>
              </w:rPr>
              <w:t>Cancelled orders or lines divided by eligible orders or lines, matching the base grain.</w:t>
            </w:r>
          </w:p>
        </w:tc>
        <w:tc>
          <w:tcPr>
            <w:tcW w:type="dxa" w:w="3096"/>
            <w:vAlign w:val="center"/>
          </w:tcPr>
          <w:p>
            <w:pPr>
              <w:spacing w:after="0"/>
            </w:pPr>
            <w:r>
              <w:rPr>
                <w:b w:val="0"/>
                <w:sz w:val="17"/>
              </w:rPr>
              <w:t>Show denominator and status values used.</w:t>
            </w:r>
          </w:p>
        </w:tc>
      </w:tr>
      <w:tr>
        <w:tc>
          <w:tcPr>
            <w:tcW w:type="dxa" w:w="1944"/>
            <w:vAlign w:val="center"/>
            <w:shd w:fill="EDF3F8"/>
          </w:tcPr>
          <w:p>
            <w:pPr>
              <w:spacing w:after="0"/>
            </w:pPr>
            <w:r>
              <w:rPr>
                <w:b w:val="0"/>
                <w:sz w:val="17"/>
              </w:rPr>
              <w:t>Return rate</w:t>
            </w:r>
          </w:p>
        </w:tc>
        <w:tc>
          <w:tcPr>
            <w:tcW w:type="dxa" w:w="5256"/>
            <w:vAlign w:val="center"/>
            <w:shd w:fill="EDF3F8"/>
          </w:tcPr>
          <w:p>
            <w:pPr>
              <w:spacing w:after="0"/>
            </w:pPr>
            <w:r>
              <w:rPr>
                <w:b w:val="0"/>
                <w:sz w:val="17"/>
              </w:rPr>
              <w:t>Returned/refunded orders or lines divided by fulfilled/delivered eligible orders or lines.</w:t>
            </w:r>
          </w:p>
        </w:tc>
        <w:tc>
          <w:tcPr>
            <w:tcW w:type="dxa" w:w="3096"/>
            <w:vAlign w:val="center"/>
            <w:shd w:fill="EDF3F8"/>
          </w:tcPr>
          <w:p>
            <w:pPr>
              <w:spacing w:after="0"/>
            </w:pPr>
            <w:r>
              <w:rPr>
                <w:b w:val="0"/>
                <w:sz w:val="17"/>
              </w:rPr>
              <w:t>If fulfillment status is absent, label denominator as observed records.</w:t>
            </w:r>
          </w:p>
        </w:tc>
      </w:tr>
      <w:tr>
        <w:tc>
          <w:tcPr>
            <w:tcW w:type="dxa" w:w="1944"/>
            <w:vAlign w:val="center"/>
          </w:tcPr>
          <w:p>
            <w:pPr>
              <w:spacing w:after="0"/>
            </w:pPr>
            <w:r>
              <w:rPr>
                <w:b w:val="0"/>
                <w:sz w:val="17"/>
              </w:rPr>
              <w:t>Discount rate</w:t>
            </w:r>
          </w:p>
        </w:tc>
        <w:tc>
          <w:tcPr>
            <w:tcW w:type="dxa" w:w="5256"/>
            <w:vAlign w:val="center"/>
          </w:tcPr>
          <w:p>
            <w:pPr>
              <w:spacing w:after="0"/>
            </w:pPr>
            <w:r>
              <w:rPr>
                <w:b w:val="0"/>
                <w:sz w:val="17"/>
              </w:rPr>
              <w:t>Discount amount divided by gross sales, or 1 minus actual price/list price where both are verified.</w:t>
            </w:r>
          </w:p>
        </w:tc>
        <w:tc>
          <w:tcPr>
            <w:tcW w:type="dxa" w:w="3096"/>
            <w:vAlign w:val="center"/>
          </w:tcPr>
          <w:p>
            <w:pPr>
              <w:spacing w:after="0"/>
            </w:pPr>
            <w:r>
              <w:rPr>
                <w:b w:val="0"/>
                <w:sz w:val="17"/>
              </w:rPr>
              <w:t>Do not derive discounts from independently generated prices.</w:t>
            </w:r>
          </w:p>
        </w:tc>
      </w:tr>
      <w:tr>
        <w:tc>
          <w:tcPr>
            <w:tcW w:type="dxa" w:w="1944"/>
            <w:vAlign w:val="center"/>
            <w:shd w:fill="EDF3F8"/>
          </w:tcPr>
          <w:p>
            <w:pPr>
              <w:spacing w:after="0"/>
            </w:pPr>
            <w:r>
              <w:rPr>
                <w:b w:val="0"/>
                <w:sz w:val="17"/>
              </w:rPr>
              <w:t>Stockout risk</w:t>
            </w:r>
          </w:p>
        </w:tc>
        <w:tc>
          <w:tcPr>
            <w:tcW w:type="dxa" w:w="5256"/>
            <w:vAlign w:val="center"/>
            <w:shd w:fill="EDF3F8"/>
          </w:tcPr>
          <w:p>
            <w:pPr>
              <w:spacing w:after="0"/>
            </w:pPr>
            <w:r>
              <w:rPr>
                <w:b w:val="0"/>
                <w:sz w:val="17"/>
              </w:rPr>
              <w:t>Products with on-hand &lt;= verified reorder threshold, or zero on-hand with recent demand.</w:t>
            </w:r>
          </w:p>
        </w:tc>
        <w:tc>
          <w:tcPr>
            <w:tcW w:type="dxa" w:w="3096"/>
            <w:vAlign w:val="center"/>
            <w:shd w:fill="EDF3F8"/>
          </w:tcPr>
          <w:p>
            <w:pPr>
              <w:spacing w:after="0"/>
            </w:pPr>
            <w:r>
              <w:rPr>
                <w:b w:val="0"/>
                <w:sz w:val="17"/>
              </w:rPr>
              <w:t>If threshold is missing, call it low-stock signal, not stockout forecast.</w:t>
            </w:r>
          </w:p>
        </w:tc>
      </w:tr>
      <w:tr>
        <w:tc>
          <w:tcPr>
            <w:tcW w:type="dxa" w:w="1944"/>
            <w:vAlign w:val="center"/>
          </w:tcPr>
          <w:p>
            <w:pPr>
              <w:spacing w:after="0"/>
            </w:pPr>
            <w:r>
              <w:rPr>
                <w:b w:val="0"/>
                <w:sz w:val="17"/>
              </w:rPr>
              <w:t>Leak estimate</w:t>
            </w:r>
          </w:p>
        </w:tc>
        <w:tc>
          <w:tcPr>
            <w:tcW w:type="dxa" w:w="5256"/>
            <w:vAlign w:val="center"/>
          </w:tcPr>
          <w:p>
            <w:pPr>
              <w:spacing w:after="0"/>
            </w:pPr>
            <w:r>
              <w:rPr>
                <w:b w:val="0"/>
                <w:sz w:val="17"/>
              </w:rPr>
              <w:t>Observed impact linked to the rule: returned/cancelled value, discount value, or missed-demand proxy.</w:t>
            </w:r>
          </w:p>
        </w:tc>
        <w:tc>
          <w:tcPr>
            <w:tcW w:type="dxa" w:w="3096"/>
            <w:vAlign w:val="center"/>
          </w:tcPr>
          <w:p>
            <w:pPr>
              <w:spacing w:after="0"/>
            </w:pPr>
            <w:r>
              <w:rPr>
                <w:b w:val="0"/>
                <w:sz w:val="17"/>
              </w:rPr>
              <w:t>Only report a currency estimate from source monetary fields; never mix synthetic cost/price with source revenue.</w:t>
            </w:r>
          </w:p>
        </w:tc>
      </w:tr>
    </w:tbl>
    <w:p>
      <w:pPr>
        <w:spacing w:after="40"/>
      </w:pPr>
    </w:p>
    <w:p>
      <w:pPr>
        <w:spacing w:after="80"/>
      </w:pPr>
      <w:r>
        <w:t>Synthetic-data rule: source amounts are authoritative only within their own dataset. If costs, list prices, or return costs are independently generated, place them under “Assumptions”, mark the output Estimated, keep them separate from observed revenue, and expose the formula. Do not present estimated profit/margin as factual. If unit cost and realized price are both verified at the same grain, margin may be shown as (realized revenue - cost) / realized revenue.</w:t>
      </w:r>
    </w:p>
    <w:p>
      <w:pPr>
        <w:pStyle w:val="Heading1"/>
      </w:pPr>
      <w:r>
        <w:t>5 Leak detection rules</w:t>
      </w:r>
    </w:p>
    <w:p>
      <w:pPr>
        <w:spacing w:after="80"/>
      </w:pPr>
      <w:r>
        <w:t>Run only rules supported by mapped fields. Rank alerts by evidence strength, then estimated observed impact. Each alert must include the rule, scope, numerator/denominator, comparison window, and any assumptions.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spacing w:after="0"/>
            </w:pPr>
            <w:r>
              <w:rPr>
                <w:b/>
                <w:color w:val="FFFFFF"/>
                <w:sz w:val="17"/>
              </w:rPr>
              <w:t>Leak</w:t>
            </w:r>
          </w:p>
        </w:tc>
        <w:tc>
          <w:tcPr>
            <w:tcW w:type="dxa" w:w="2376"/>
            <w:vAlign w:val="center"/>
            <w:shd w:fill="17365D"/>
          </w:tcPr>
          <w:p>
            <w:pPr>
              <w:spacing w:after="0"/>
            </w:pPr>
            <w:r>
              <w:rPr>
                <w:b/>
                <w:color w:val="FFFFFF"/>
                <w:sz w:val="17"/>
              </w:rPr>
              <w:t>Minimum fields</w:t>
            </w:r>
          </w:p>
        </w:tc>
        <w:tc>
          <w:tcPr>
            <w:tcW w:type="dxa" w:w="4104"/>
            <w:vAlign w:val="center"/>
            <w:shd w:fill="17365D"/>
          </w:tcPr>
          <w:p>
            <w:pPr>
              <w:spacing w:after="0"/>
            </w:pPr>
            <w:r>
              <w:rPr>
                <w:b/>
                <w:color w:val="FFFFFF"/>
                <w:sz w:val="17"/>
              </w:rPr>
              <w:t>Transparent rule</w:t>
            </w:r>
          </w:p>
        </w:tc>
        <w:tc>
          <w:tcPr>
            <w:tcW w:type="dxa" w:w="2232"/>
            <w:vAlign w:val="center"/>
            <w:shd w:fill="17365D"/>
          </w:tcPr>
          <w:p>
            <w:pPr>
              <w:spacing w:after="0"/>
            </w:pPr>
            <w:r>
              <w:rPr>
                <w:b/>
                <w:color w:val="FFFFFF"/>
                <w:sz w:val="17"/>
              </w:rPr>
              <w:t>Suggested manager action</w:t>
            </w:r>
          </w:p>
        </w:tc>
      </w:tr>
      <w:tr>
        <w:tc>
          <w:tcPr>
            <w:tcW w:type="dxa" w:w="1584"/>
            <w:vAlign w:val="center"/>
          </w:tcPr>
          <w:p>
            <w:pPr>
              <w:spacing w:after="0"/>
            </w:pPr>
            <w:r>
              <w:rPr>
                <w:b w:val="0"/>
                <w:sz w:val="17"/>
              </w:rPr>
              <w:t>Cancellations</w:t>
            </w:r>
          </w:p>
        </w:tc>
        <w:tc>
          <w:tcPr>
            <w:tcW w:type="dxa" w:w="2376"/>
            <w:vAlign w:val="center"/>
          </w:tcPr>
          <w:p>
            <w:pPr>
              <w:spacing w:after="0"/>
            </w:pPr>
            <w:r>
              <w:rPr>
                <w:b w:val="0"/>
                <w:sz w:val="17"/>
              </w:rPr>
              <w:t>Status plus amount and/or order key</w:t>
            </w:r>
          </w:p>
        </w:tc>
        <w:tc>
          <w:tcPr>
            <w:tcW w:type="dxa" w:w="4104"/>
            <w:vAlign w:val="center"/>
          </w:tcPr>
          <w:p>
            <w:pPr>
              <w:spacing w:after="0"/>
            </w:pPr>
            <w:r>
              <w:rPr>
                <w:b w:val="0"/>
                <w:sz w:val="17"/>
              </w:rPr>
              <w:t>Cancellation rate exceeds max(10%, 1.5x prior period) with at least 10 eligible records.</w:t>
            </w:r>
          </w:p>
        </w:tc>
        <w:tc>
          <w:tcPr>
            <w:tcW w:type="dxa" w:w="2232"/>
            <w:vAlign w:val="center"/>
          </w:tcPr>
          <w:p>
            <w:pPr>
              <w:spacing w:after="0"/>
            </w:pPr>
            <w:r>
              <w:rPr>
                <w:b w:val="0"/>
                <w:sz w:val="17"/>
              </w:rPr>
              <w:t>Check payment, fulfillment, and product availability for the leading product/region.</w:t>
            </w:r>
          </w:p>
        </w:tc>
      </w:tr>
      <w:tr>
        <w:tc>
          <w:tcPr>
            <w:tcW w:type="dxa" w:w="1584"/>
            <w:vAlign w:val="center"/>
            <w:shd w:fill="EDF3F8"/>
          </w:tcPr>
          <w:p>
            <w:pPr>
              <w:spacing w:after="0"/>
            </w:pPr>
            <w:r>
              <w:rPr>
                <w:b w:val="0"/>
                <w:sz w:val="17"/>
              </w:rPr>
              <w:t>Returns</w:t>
            </w:r>
          </w:p>
        </w:tc>
        <w:tc>
          <w:tcPr>
            <w:tcW w:type="dxa" w:w="2376"/>
            <w:vAlign w:val="center"/>
            <w:shd w:fill="EDF3F8"/>
          </w:tcPr>
          <w:p>
            <w:pPr>
              <w:spacing w:after="0"/>
            </w:pPr>
            <w:r>
              <w:rPr>
                <w:b w:val="0"/>
                <w:sz w:val="17"/>
              </w:rPr>
              <w:t>Return/refund status plus amount and product key</w:t>
            </w:r>
          </w:p>
        </w:tc>
        <w:tc>
          <w:tcPr>
            <w:tcW w:type="dxa" w:w="4104"/>
            <w:vAlign w:val="center"/>
            <w:shd w:fill="EDF3F8"/>
          </w:tcPr>
          <w:p>
            <w:pPr>
              <w:spacing w:after="0"/>
            </w:pPr>
            <w:r>
              <w:rPr>
                <w:b w:val="0"/>
                <w:sz w:val="17"/>
              </w:rPr>
              <w:t>Return rate exceeds max(8%, 1.5x prior period) with at least 10 eligible records.</w:t>
            </w:r>
          </w:p>
        </w:tc>
        <w:tc>
          <w:tcPr>
            <w:tcW w:type="dxa" w:w="2232"/>
            <w:vAlign w:val="center"/>
            <w:shd w:fill="EDF3F8"/>
          </w:tcPr>
          <w:p>
            <w:pPr>
              <w:spacing w:after="0"/>
            </w:pPr>
            <w:r>
              <w:rPr>
                <w:b w:val="0"/>
                <w:sz w:val="17"/>
              </w:rPr>
              <w:t>Inspect leading returned products and product-quality/listing issues.</w:t>
            </w:r>
          </w:p>
        </w:tc>
      </w:tr>
      <w:tr>
        <w:tc>
          <w:tcPr>
            <w:tcW w:type="dxa" w:w="1584"/>
            <w:vAlign w:val="center"/>
          </w:tcPr>
          <w:p>
            <w:pPr>
              <w:spacing w:after="0"/>
            </w:pPr>
            <w:r>
              <w:rPr>
                <w:b w:val="0"/>
                <w:sz w:val="17"/>
              </w:rPr>
              <w:t>Discount erosion</w:t>
            </w:r>
          </w:p>
        </w:tc>
        <w:tc>
          <w:tcPr>
            <w:tcW w:type="dxa" w:w="2376"/>
            <w:vAlign w:val="center"/>
          </w:tcPr>
          <w:p>
            <w:pPr>
              <w:spacing w:after="0"/>
            </w:pPr>
            <w:r>
              <w:rPr>
                <w:b w:val="0"/>
                <w:sz w:val="17"/>
              </w:rPr>
              <w:t>Verified discount or list and actual price</w:t>
            </w:r>
          </w:p>
        </w:tc>
        <w:tc>
          <w:tcPr>
            <w:tcW w:type="dxa" w:w="4104"/>
            <w:vAlign w:val="center"/>
          </w:tcPr>
          <w:p>
            <w:pPr>
              <w:spacing w:after="0"/>
            </w:pPr>
            <w:r>
              <w:rPr>
                <w:b w:val="0"/>
                <w:sz w:val="17"/>
              </w:rPr>
              <w:t>Discount rate &gt; 15% or is 1.5x prior period; rank by discount value.</w:t>
            </w:r>
          </w:p>
        </w:tc>
        <w:tc>
          <w:tcPr>
            <w:tcW w:type="dxa" w:w="2232"/>
            <w:vAlign w:val="center"/>
          </w:tcPr>
          <w:p>
            <w:pPr>
              <w:spacing w:after="0"/>
            </w:pPr>
            <w:r>
              <w:rPr>
                <w:b w:val="0"/>
                <w:sz w:val="17"/>
              </w:rPr>
              <w:t>Review campaign or SKU pricing and pause low-value discounting.</w:t>
            </w:r>
          </w:p>
        </w:tc>
      </w:tr>
      <w:tr>
        <w:tc>
          <w:tcPr>
            <w:tcW w:type="dxa" w:w="1584"/>
            <w:vAlign w:val="center"/>
            <w:shd w:fill="EDF3F8"/>
          </w:tcPr>
          <w:p>
            <w:pPr>
              <w:spacing w:after="0"/>
            </w:pPr>
            <w:r>
              <w:rPr>
                <w:b w:val="0"/>
                <w:sz w:val="17"/>
              </w:rPr>
              <w:t>Low stock</w:t>
            </w:r>
          </w:p>
        </w:tc>
        <w:tc>
          <w:tcPr>
            <w:tcW w:type="dxa" w:w="2376"/>
            <w:vAlign w:val="center"/>
            <w:shd w:fill="EDF3F8"/>
          </w:tcPr>
          <w:p>
            <w:pPr>
              <w:spacing w:after="0"/>
            </w:pPr>
            <w:r>
              <w:rPr>
                <w:b w:val="0"/>
                <w:sz w:val="17"/>
              </w:rPr>
              <w:t>Inventory quantity plus product key; demand if available</w:t>
            </w:r>
          </w:p>
        </w:tc>
        <w:tc>
          <w:tcPr>
            <w:tcW w:type="dxa" w:w="4104"/>
            <w:vAlign w:val="center"/>
            <w:shd w:fill="EDF3F8"/>
          </w:tcPr>
          <w:p>
            <w:pPr>
              <w:spacing w:after="0"/>
            </w:pPr>
            <w:r>
              <w:rPr>
                <w:b w:val="0"/>
                <w:sz w:val="17"/>
              </w:rPr>
              <w:t>On-hand &lt;= threshold, or on-hand = 0 and recent sales exist.</w:t>
            </w:r>
          </w:p>
        </w:tc>
        <w:tc>
          <w:tcPr>
            <w:tcW w:type="dxa" w:w="2232"/>
            <w:vAlign w:val="center"/>
            <w:shd w:fill="EDF3F8"/>
          </w:tcPr>
          <w:p>
            <w:pPr>
              <w:spacing w:after="0"/>
            </w:pPr>
            <w:r>
              <w:rPr>
                <w:b w:val="0"/>
                <w:sz w:val="17"/>
              </w:rPr>
              <w:t>Replenish or investigate a high-demand product.</w:t>
            </w:r>
          </w:p>
        </w:tc>
      </w:tr>
      <w:tr>
        <w:tc>
          <w:tcPr>
            <w:tcW w:type="dxa" w:w="1584"/>
            <w:vAlign w:val="center"/>
          </w:tcPr>
          <w:p>
            <w:pPr>
              <w:spacing w:after="0"/>
            </w:pPr>
            <w:r>
              <w:rPr>
                <w:b w:val="0"/>
                <w:sz w:val="17"/>
              </w:rPr>
              <w:t>Revenue anomaly</w:t>
            </w:r>
          </w:p>
        </w:tc>
        <w:tc>
          <w:tcPr>
            <w:tcW w:type="dxa" w:w="2376"/>
            <w:vAlign w:val="center"/>
          </w:tcPr>
          <w:p>
            <w:pPr>
              <w:spacing w:after="0"/>
            </w:pPr>
            <w:r>
              <w:rPr>
                <w:b w:val="0"/>
                <w:sz w:val="17"/>
              </w:rPr>
              <w:t>Date plus observed sales amount</w:t>
            </w:r>
          </w:p>
        </w:tc>
        <w:tc>
          <w:tcPr>
            <w:tcW w:type="dxa" w:w="4104"/>
            <w:vAlign w:val="center"/>
          </w:tcPr>
          <w:p>
            <w:pPr>
              <w:spacing w:after="0"/>
            </w:pPr>
            <w:r>
              <w:rPr>
                <w:b w:val="0"/>
                <w:sz w:val="17"/>
              </w:rPr>
              <w:t>Current 7-day value is 30% below comparable prior window, with &gt;= 7 observations.</w:t>
            </w:r>
          </w:p>
        </w:tc>
        <w:tc>
          <w:tcPr>
            <w:tcW w:type="dxa" w:w="2232"/>
            <w:vAlign w:val="center"/>
          </w:tcPr>
          <w:p>
            <w:pPr>
              <w:spacing w:after="0"/>
            </w:pPr>
            <w:r>
              <w:rPr>
                <w:b w:val="0"/>
                <w:sz w:val="17"/>
              </w:rPr>
              <w:t>Drill into statuses, top products, and regions before acting.</w:t>
            </w:r>
          </w:p>
        </w:tc>
      </w:tr>
    </w:tbl>
    <w:p>
      <w:pPr>
        <w:spacing w:after="40"/>
      </w:pPr>
    </w:p>
    <w:p>
      <w:pPr>
        <w:spacing w:after="80"/>
      </w:pPr>
      <w:r>
        <w:t>If there is insufficient history, use absolute thresholds only and say “no baseline comparison available.” Never call a correlation a root cause; label breakdowns as likely drivers or contributing signals.</w:t>
      </w:r>
    </w:p>
    <w:p>
      <w:pPr>
        <w:pStyle w:val="Heading1"/>
      </w:pPr>
      <w:r>
        <w:t>6 User flow and UI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7365D"/>
          </w:tcPr>
          <w:p>
            <w:pPr>
              <w:spacing w:after="0"/>
            </w:pPr>
            <w:r>
              <w:rPr>
                <w:b/>
                <w:color w:val="FFFFFF"/>
                <w:sz w:val="17"/>
              </w:rPr>
              <w:t>Step</w:t>
            </w:r>
          </w:p>
        </w:tc>
        <w:tc>
          <w:tcPr>
            <w:tcW w:type="dxa" w:w="4464"/>
            <w:vAlign w:val="center"/>
            <w:shd w:fill="17365D"/>
          </w:tcPr>
          <w:p>
            <w:pPr>
              <w:spacing w:after="0"/>
            </w:pPr>
            <w:r>
              <w:rPr>
                <w:b/>
                <w:color w:val="FFFFFF"/>
                <w:sz w:val="17"/>
              </w:rPr>
              <w:t>User sees</w:t>
            </w:r>
          </w:p>
        </w:tc>
        <w:tc>
          <w:tcPr>
            <w:tcW w:type="dxa" w:w="4392"/>
            <w:vAlign w:val="center"/>
            <w:shd w:fill="17365D"/>
          </w:tcPr>
          <w:p>
            <w:pPr>
              <w:spacing w:after="0"/>
            </w:pPr>
            <w:r>
              <w:rPr>
                <w:b/>
                <w:color w:val="FFFFFF"/>
                <w:sz w:val="17"/>
              </w:rPr>
              <w:t>Implementation requirement</w:t>
            </w:r>
          </w:p>
        </w:tc>
      </w:tr>
      <w:tr>
        <w:tc>
          <w:tcPr>
            <w:tcW w:type="dxa" w:w="1440"/>
            <w:vAlign w:val="center"/>
          </w:tcPr>
          <w:p>
            <w:pPr>
              <w:spacing w:after="0"/>
            </w:pPr>
            <w:r>
              <w:rPr>
                <w:b w:val="0"/>
                <w:sz w:val="17"/>
              </w:rPr>
              <w:t>1 Load</w:t>
            </w:r>
          </w:p>
        </w:tc>
        <w:tc>
          <w:tcPr>
            <w:tcW w:type="dxa" w:w="4464"/>
            <w:vAlign w:val="center"/>
          </w:tcPr>
          <w:p>
            <w:pPr>
              <w:spacing w:after="0"/>
            </w:pPr>
            <w:r>
              <w:rPr>
                <w:b w:val="0"/>
                <w:sz w:val="17"/>
              </w:rPr>
              <w:t>File list, data profile, field mappings, join health.</w:t>
            </w:r>
          </w:p>
        </w:tc>
        <w:tc>
          <w:tcPr>
            <w:tcW w:type="dxa" w:w="4392"/>
            <w:vAlign w:val="center"/>
          </w:tcPr>
          <w:p>
            <w:pPr>
              <w:spacing w:after="0"/>
            </w:pPr>
            <w:r>
              <w:rPr>
                <w:b w:val="0"/>
                <w:sz w:val="17"/>
              </w:rPr>
              <w:t>Use a sample-data option only if files are missing; mark sample mode clearly.</w:t>
            </w:r>
          </w:p>
        </w:tc>
      </w:tr>
      <w:tr>
        <w:tc>
          <w:tcPr>
            <w:tcW w:type="dxa" w:w="1440"/>
            <w:vAlign w:val="center"/>
            <w:shd w:fill="EDF3F8"/>
          </w:tcPr>
          <w:p>
            <w:pPr>
              <w:spacing w:after="0"/>
            </w:pPr>
            <w:r>
              <w:rPr>
                <w:b w:val="0"/>
                <w:sz w:val="17"/>
              </w:rPr>
              <w:t>2 Overview</w:t>
            </w:r>
          </w:p>
        </w:tc>
        <w:tc>
          <w:tcPr>
            <w:tcW w:type="dxa" w:w="4464"/>
            <w:vAlign w:val="center"/>
            <w:shd w:fill="EDF3F8"/>
          </w:tcPr>
          <w:p>
            <w:pPr>
              <w:spacing w:after="0"/>
            </w:pPr>
            <w:r>
              <w:rPr>
                <w:b w:val="0"/>
                <w:sz w:val="17"/>
              </w:rPr>
              <w:t>KPI cards: realized revenue if safe, cancel/return rate if available, alert count, highest-impact alert.</w:t>
            </w:r>
          </w:p>
        </w:tc>
        <w:tc>
          <w:tcPr>
            <w:tcW w:type="dxa" w:w="4392"/>
            <w:vAlign w:val="center"/>
            <w:shd w:fill="EDF3F8"/>
          </w:tcPr>
          <w:p>
            <w:pPr>
              <w:spacing w:after="0"/>
            </w:pPr>
            <w:r>
              <w:rPr>
                <w:b w:val="0"/>
                <w:sz w:val="17"/>
              </w:rPr>
              <w:t>Every KPI has a tooltip or compact definition.</w:t>
            </w:r>
          </w:p>
        </w:tc>
      </w:tr>
      <w:tr>
        <w:tc>
          <w:tcPr>
            <w:tcW w:type="dxa" w:w="1440"/>
            <w:vAlign w:val="center"/>
          </w:tcPr>
          <w:p>
            <w:pPr>
              <w:spacing w:after="0"/>
            </w:pPr>
            <w:r>
              <w:rPr>
                <w:b w:val="0"/>
                <w:sz w:val="17"/>
              </w:rPr>
              <w:t>3 Investigate</w:t>
            </w:r>
          </w:p>
        </w:tc>
        <w:tc>
          <w:tcPr>
            <w:tcW w:type="dxa" w:w="4464"/>
            <w:vAlign w:val="center"/>
          </w:tcPr>
          <w:p>
            <w:pPr>
              <w:spacing w:after="0"/>
            </w:pPr>
            <w:r>
              <w:rPr>
                <w:b w:val="0"/>
                <w:sz w:val="17"/>
              </w:rPr>
              <w:t>Ranked alert cards with severity, impact, evidence, and confidence/availability note.</w:t>
            </w:r>
          </w:p>
        </w:tc>
        <w:tc>
          <w:tcPr>
            <w:tcW w:type="dxa" w:w="4392"/>
            <w:vAlign w:val="center"/>
          </w:tcPr>
          <w:p>
            <w:pPr>
              <w:spacing w:after="0"/>
            </w:pPr>
            <w:r>
              <w:rPr>
                <w:b w:val="0"/>
                <w:sz w:val="17"/>
              </w:rPr>
              <w:t>Click one card to set the active investigation.</w:t>
            </w:r>
          </w:p>
        </w:tc>
      </w:tr>
      <w:tr>
        <w:tc>
          <w:tcPr>
            <w:tcW w:type="dxa" w:w="1440"/>
            <w:vAlign w:val="center"/>
            <w:shd w:fill="EDF3F8"/>
          </w:tcPr>
          <w:p>
            <w:pPr>
              <w:spacing w:after="0"/>
            </w:pPr>
            <w:r>
              <w:rPr>
                <w:b w:val="0"/>
                <w:sz w:val="17"/>
              </w:rPr>
              <w:t>4 Explain</w:t>
            </w:r>
          </w:p>
        </w:tc>
        <w:tc>
          <w:tcPr>
            <w:tcW w:type="dxa" w:w="4464"/>
            <w:vAlign w:val="center"/>
            <w:shd w:fill="EDF3F8"/>
          </w:tcPr>
          <w:p>
            <w:pPr>
              <w:spacing w:after="0"/>
            </w:pPr>
            <w:r>
              <w:rPr>
                <w:b w:val="0"/>
                <w:sz w:val="17"/>
              </w:rPr>
              <w:t>Trend or comparison, top product/customer/region breakdown where supported, “why flagged” text.</w:t>
            </w:r>
          </w:p>
        </w:tc>
        <w:tc>
          <w:tcPr>
            <w:tcW w:type="dxa" w:w="4392"/>
            <w:vAlign w:val="center"/>
            <w:shd w:fill="EDF3F8"/>
          </w:tcPr>
          <w:p>
            <w:pPr>
              <w:spacing w:after="0"/>
            </w:pPr>
            <w:r>
              <w:rPr>
                <w:b w:val="0"/>
                <w:sz w:val="17"/>
              </w:rPr>
              <w:t>No empty charts; substitute an unavailable-data message.</w:t>
            </w:r>
          </w:p>
        </w:tc>
      </w:tr>
      <w:tr>
        <w:tc>
          <w:tcPr>
            <w:tcW w:type="dxa" w:w="1440"/>
            <w:vAlign w:val="center"/>
          </w:tcPr>
          <w:p>
            <w:pPr>
              <w:spacing w:after="0"/>
            </w:pPr>
            <w:r>
              <w:rPr>
                <w:b w:val="0"/>
                <w:sz w:val="17"/>
              </w:rPr>
              <w:t>5 Act</w:t>
            </w:r>
          </w:p>
        </w:tc>
        <w:tc>
          <w:tcPr>
            <w:tcW w:type="dxa" w:w="4464"/>
            <w:vAlign w:val="center"/>
          </w:tcPr>
          <w:p>
            <w:pPr>
              <w:spacing w:after="0"/>
            </w:pPr>
            <w:r>
              <w:rPr>
                <w:b w:val="0"/>
                <w:sz w:val="17"/>
              </w:rPr>
              <w:t>One recommended action, owner suggestion, and validation metric.</w:t>
            </w:r>
          </w:p>
        </w:tc>
        <w:tc>
          <w:tcPr>
            <w:tcW w:type="dxa" w:w="4392"/>
            <w:vAlign w:val="center"/>
          </w:tcPr>
          <w:p>
            <w:pPr>
              <w:spacing w:after="0"/>
            </w:pPr>
            <w:r>
              <w:rPr>
                <w:b w:val="0"/>
                <w:sz w:val="17"/>
              </w:rPr>
              <w:t>Action must follow directly from the alert rule.</w:t>
            </w:r>
          </w:p>
        </w:tc>
      </w:tr>
    </w:tbl>
    <w:p>
      <w:pPr>
        <w:spacing w:after="40"/>
      </w:pPr>
    </w:p>
    <w:p>
      <w:pPr>
        <w:pStyle w:val="ListBullet"/>
        <w:spacing w:after="20"/>
      </w:pPr>
      <w:r>
        <w:t>One screen is enough: sidebar for data/configuration; main area for overview, alerts, and active investigation.</w:t>
      </w:r>
    </w:p>
    <w:p>
      <w:pPr>
        <w:pStyle w:val="ListBullet"/>
        <w:spacing w:after="20"/>
      </w:pPr>
      <w:r>
        <w:t>Use explicit labels such as Observed, Estimated, Unavailable, and Sample data.</w:t>
      </w:r>
    </w:p>
    <w:p>
      <w:pPr>
        <w:pStyle w:val="ListBullet"/>
        <w:spacing w:after="20"/>
      </w:pPr>
      <w:r>
        <w:t>Keep charts limited to a trend line plus one ranked bar chart; tables must be sortable only if it is nearly free.</w:t>
      </w:r>
    </w:p>
    <w:p>
      <w:pPr>
        <w:pStyle w:val="ListBullet"/>
        <w:spacing w:after="20"/>
      </w:pPr>
      <w:r>
        <w:t>Support a single date filter if dates are successfully mapped; otherwise omit it.</w:t>
      </w:r>
    </w:p>
    <w:p>
      <w:pPr>
        <w:pStyle w:val="Heading1"/>
      </w:pPr>
      <w:r>
        <w:t>7 Fast prototype architecture</w:t>
      </w:r>
    </w:p>
    <w:p>
      <w:pPr>
        <w:spacing w:after="80"/>
      </w:pPr>
      <w:r>
        <w:t>Recommended: Python plus Streamlit, pandas, and Plotly/Altair because it is fast to demo locally and works well with CSV uploads. This is a recommendation, not a requirement: use an equivalent stack if the team already has a faster working setup.</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0"/>
            </w:pPr>
            <w:r>
              <w:rPr>
                <w:b/>
                <w:color w:val="FFFFFF"/>
                <w:sz w:val="17"/>
              </w:rPr>
              <w:t>Module</w:t>
            </w:r>
          </w:p>
        </w:tc>
        <w:tc>
          <w:tcPr>
            <w:tcW w:type="dxa" w:w="8496"/>
            <w:vAlign w:val="center"/>
            <w:shd w:fill="17365D"/>
          </w:tcPr>
          <w:p>
            <w:pPr>
              <w:spacing w:after="0"/>
            </w:pPr>
            <w:r>
              <w:rPr>
                <w:b/>
                <w:color w:val="FFFFFF"/>
                <w:sz w:val="17"/>
              </w:rPr>
              <w:t>Responsibility</w:t>
            </w:r>
          </w:p>
        </w:tc>
      </w:tr>
      <w:tr>
        <w:tc>
          <w:tcPr>
            <w:tcW w:type="dxa" w:w="1800"/>
            <w:vAlign w:val="center"/>
          </w:tcPr>
          <w:p>
            <w:pPr>
              <w:spacing w:after="0"/>
            </w:pPr>
            <w:r>
              <w:rPr>
                <w:b w:val="0"/>
                <w:sz w:val="17"/>
              </w:rPr>
              <w:t>app</w:t>
            </w:r>
          </w:p>
        </w:tc>
        <w:tc>
          <w:tcPr>
            <w:tcW w:type="dxa" w:w="8496"/>
            <w:vAlign w:val="center"/>
          </w:tcPr>
          <w:p>
            <w:pPr>
              <w:spacing w:after="0"/>
            </w:pPr>
            <w:r>
              <w:rPr>
                <w:b w:val="0"/>
                <w:sz w:val="17"/>
              </w:rPr>
              <w:t>File selection/upload, state, sidebar, page layout.</w:t>
            </w:r>
          </w:p>
        </w:tc>
      </w:tr>
      <w:tr>
        <w:tc>
          <w:tcPr>
            <w:tcW w:type="dxa" w:w="1800"/>
            <w:vAlign w:val="center"/>
            <w:shd w:fill="EDF3F8"/>
          </w:tcPr>
          <w:p>
            <w:pPr>
              <w:spacing w:after="0"/>
            </w:pPr>
            <w:r>
              <w:rPr>
                <w:b w:val="0"/>
                <w:sz w:val="17"/>
              </w:rPr>
              <w:t>profile</w:t>
            </w:r>
          </w:p>
        </w:tc>
        <w:tc>
          <w:tcPr>
            <w:tcW w:type="dxa" w:w="8496"/>
            <w:vAlign w:val="center"/>
            <w:shd w:fill="EDF3F8"/>
          </w:tcPr>
          <w:p>
            <w:pPr>
              <w:spacing w:after="0"/>
            </w:pPr>
            <w:r>
              <w:rPr>
                <w:b w:val="0"/>
                <w:sz w:val="17"/>
              </w:rPr>
              <w:t>CSV inspection, type parsing, mapping suggestions, data-quality report.</w:t>
            </w:r>
          </w:p>
        </w:tc>
      </w:tr>
      <w:tr>
        <w:tc>
          <w:tcPr>
            <w:tcW w:type="dxa" w:w="1800"/>
            <w:vAlign w:val="center"/>
          </w:tcPr>
          <w:p>
            <w:pPr>
              <w:spacing w:after="0"/>
            </w:pPr>
            <w:r>
              <w:rPr>
                <w:b w:val="0"/>
                <w:sz w:val="17"/>
              </w:rPr>
              <w:t>model</w:t>
            </w:r>
          </w:p>
        </w:tc>
        <w:tc>
          <w:tcPr>
            <w:tcW w:type="dxa" w:w="8496"/>
            <w:vAlign w:val="center"/>
          </w:tcPr>
          <w:p>
            <w:pPr>
              <w:spacing w:after="0"/>
            </w:pPr>
            <w:r>
              <w:rPr>
                <w:b w:val="0"/>
                <w:sz w:val="17"/>
              </w:rPr>
              <w:t>Safe joins and base-grain preservation checks.</w:t>
            </w:r>
          </w:p>
        </w:tc>
      </w:tr>
      <w:tr>
        <w:tc>
          <w:tcPr>
            <w:tcW w:type="dxa" w:w="1800"/>
            <w:vAlign w:val="center"/>
            <w:shd w:fill="EDF3F8"/>
          </w:tcPr>
          <w:p>
            <w:pPr>
              <w:spacing w:after="0"/>
            </w:pPr>
            <w:r>
              <w:rPr>
                <w:b w:val="0"/>
                <w:sz w:val="17"/>
              </w:rPr>
              <w:t>metrics</w:t>
            </w:r>
          </w:p>
        </w:tc>
        <w:tc>
          <w:tcPr>
            <w:tcW w:type="dxa" w:w="8496"/>
            <w:vAlign w:val="center"/>
            <w:shd w:fill="EDF3F8"/>
          </w:tcPr>
          <w:p>
            <w:pPr>
              <w:spacing w:after="0"/>
            </w:pPr>
            <w:r>
              <w:rPr>
                <w:b w:val="0"/>
                <w:sz w:val="17"/>
              </w:rPr>
              <w:t>Metric functions returning value, definition, availability, and warnings.</w:t>
            </w:r>
          </w:p>
        </w:tc>
      </w:tr>
      <w:tr>
        <w:tc>
          <w:tcPr>
            <w:tcW w:type="dxa" w:w="1800"/>
            <w:vAlign w:val="center"/>
          </w:tcPr>
          <w:p>
            <w:pPr>
              <w:spacing w:after="0"/>
            </w:pPr>
            <w:r>
              <w:rPr>
                <w:b w:val="0"/>
                <w:sz w:val="17"/>
              </w:rPr>
              <w:t>rules</w:t>
            </w:r>
          </w:p>
        </w:tc>
        <w:tc>
          <w:tcPr>
            <w:tcW w:type="dxa" w:w="8496"/>
            <w:vAlign w:val="center"/>
          </w:tcPr>
          <w:p>
            <w:pPr>
              <w:spacing w:after="0"/>
            </w:pPr>
            <w:r>
              <w:rPr>
                <w:b w:val="0"/>
                <w:sz w:val="17"/>
              </w:rPr>
              <w:t>Pure deterministic leak rules returning alert objects.</w:t>
            </w:r>
          </w:p>
        </w:tc>
      </w:tr>
      <w:tr>
        <w:tc>
          <w:tcPr>
            <w:tcW w:type="dxa" w:w="1800"/>
            <w:vAlign w:val="center"/>
            <w:shd w:fill="EDF3F8"/>
          </w:tcPr>
          <w:p>
            <w:pPr>
              <w:spacing w:after="0"/>
            </w:pPr>
            <w:r>
              <w:rPr>
                <w:b w:val="0"/>
                <w:sz w:val="17"/>
              </w:rPr>
              <w:t>views</w:t>
            </w:r>
          </w:p>
        </w:tc>
        <w:tc>
          <w:tcPr>
            <w:tcW w:type="dxa" w:w="8496"/>
            <w:vAlign w:val="center"/>
            <w:shd w:fill="EDF3F8"/>
          </w:tcPr>
          <w:p>
            <w:pPr>
              <w:spacing w:after="0"/>
            </w:pPr>
            <w:r>
              <w:rPr>
                <w:b w:val="0"/>
                <w:sz w:val="17"/>
              </w:rPr>
              <w:t>KPI cards, alert cards, breakdown charts, action panel.</w:t>
            </w:r>
          </w:p>
        </w:tc>
      </w:tr>
    </w:tbl>
    <w:p>
      <w:pPr>
        <w:spacing w:after="40"/>
      </w:pPr>
    </w:p>
    <w:p>
      <w:pPr>
        <w:spacing w:after="80"/>
      </w:pPr>
      <w:r>
        <w:t>Keep business logic out of UI code. Use cached loading where practical. Store mapping choices in a simple dictionary and make each rule return an unavailable result rather than raising when fields are missing.</w:t>
      </w:r>
    </w:p>
    <w:p>
      <w:pPr>
        <w:pStyle w:val="Heading1"/>
      </w:pPr>
      <w:r>
        <w:t>8 Acceptance criteria</w:t>
      </w:r>
    </w:p>
    <w:p>
      <w:pPr>
        <w:pStyle w:val="ListBullet"/>
        <w:spacing w:after="20"/>
      </w:pPr>
      <w:r>
        <w:t>App starts locally with one command and works with CSVs that have been inspected.</w:t>
      </w:r>
    </w:p>
    <w:p>
      <w:pPr>
        <w:pStyle w:val="ListBullet"/>
        <w:spacing w:after="20"/>
      </w:pPr>
      <w:r>
        <w:t>Startup/profile output shows discovered schemas, chosen mappings, and join health.</w:t>
      </w:r>
    </w:p>
    <w:p>
      <w:pPr>
        <w:pStyle w:val="ListBullet"/>
        <w:spacing w:after="20"/>
      </w:pPr>
      <w:r>
        <w:t>At least one supported leak is surfaced from the provided data or clearly marked sample data.</w:t>
      </w:r>
    </w:p>
    <w:p>
      <w:pPr>
        <w:pStyle w:val="ListBullet"/>
        <w:spacing w:after="20"/>
      </w:pPr>
      <w:r>
        <w:t>Each shown alert has a visible rule, scope, evidence, impact treatment, and next action.</w:t>
      </w:r>
    </w:p>
    <w:p>
      <w:pPr>
        <w:pStyle w:val="ListBullet"/>
        <w:spacing w:after="20"/>
      </w:pPr>
      <w:r>
        <w:t>No metric uses an unverified column name; unsupported metrics are hidden or labeled unavailable.</w:t>
      </w:r>
    </w:p>
    <w:p>
      <w:pPr>
        <w:pStyle w:val="ListBullet"/>
        <w:spacing w:after="20"/>
      </w:pPr>
      <w:r>
        <w:t>No fabricated attribution, double-counted return value, or unlabelled synthetic cost/price is shown.</w:t>
      </w:r>
    </w:p>
    <w:p>
      <w:pPr>
        <w:pStyle w:val="ListBullet"/>
        <w:spacing w:after="20"/>
      </w:pPr>
      <w:r>
        <w:t>A manager can reach an evidence-backed recommended action in three clicks or fewer.</w:t>
      </w:r>
    </w:p>
    <w:p>
      <w:pPr>
        <w:pStyle w:val="Heading1"/>
      </w:pPr>
      <w:r>
        <w:t>9 Two hour execution plan</w:t>
      </w: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7365D"/>
          </w:tcPr>
          <w:p>
            <w:pPr>
              <w:spacing w:after="0"/>
            </w:pPr>
            <w:r>
              <w:rPr>
                <w:b/>
                <w:color w:val="FFFFFF"/>
                <w:sz w:val="17"/>
              </w:rPr>
              <w:t>Time</w:t>
            </w:r>
          </w:p>
        </w:tc>
        <w:tc>
          <w:tcPr>
            <w:tcW w:type="dxa" w:w="4464"/>
            <w:vAlign w:val="center"/>
            <w:shd w:fill="17365D"/>
          </w:tcPr>
          <w:p>
            <w:pPr>
              <w:spacing w:after="0"/>
            </w:pPr>
            <w:r>
              <w:rPr>
                <w:b/>
                <w:color w:val="FFFFFF"/>
                <w:sz w:val="17"/>
              </w:rPr>
              <w:t>Owner focus</w:t>
            </w:r>
          </w:p>
        </w:tc>
        <w:tc>
          <w:tcPr>
            <w:tcW w:type="dxa" w:w="4392"/>
            <w:vAlign w:val="center"/>
            <w:shd w:fill="17365D"/>
          </w:tcPr>
          <w:p>
            <w:pPr>
              <w:spacing w:after="0"/>
            </w:pPr>
            <w:r>
              <w:rPr>
                <w:b/>
                <w:color w:val="FFFFFF"/>
                <w:sz w:val="17"/>
              </w:rPr>
              <w:t>Deliverable checkpoint</w:t>
            </w:r>
          </w:p>
        </w:tc>
      </w:tr>
      <w:tr>
        <w:tc>
          <w:tcPr>
            <w:tcW w:type="dxa" w:w="1440"/>
            <w:vAlign w:val="center"/>
          </w:tcPr>
          <w:p>
            <w:pPr>
              <w:spacing w:after="0"/>
            </w:pPr>
            <w:r>
              <w:rPr>
                <w:b w:val="0"/>
                <w:sz w:val="17"/>
              </w:rPr>
              <w:t>0:00-0:15</w:t>
            </w:r>
          </w:p>
        </w:tc>
        <w:tc>
          <w:tcPr>
            <w:tcW w:type="dxa" w:w="4464"/>
            <w:vAlign w:val="center"/>
          </w:tcPr>
          <w:p>
            <w:pPr>
              <w:spacing w:after="0"/>
            </w:pPr>
            <w:r>
              <w:rPr>
                <w:b w:val="0"/>
                <w:sz w:val="17"/>
              </w:rPr>
              <w:t>All: inspect files, choose base grain, map fields, agree one primary leak.</w:t>
            </w:r>
          </w:p>
        </w:tc>
        <w:tc>
          <w:tcPr>
            <w:tcW w:type="dxa" w:w="4392"/>
            <w:vAlign w:val="center"/>
          </w:tcPr>
          <w:p>
            <w:pPr>
              <w:spacing w:after="0"/>
            </w:pPr>
            <w:r>
              <w:rPr>
                <w:b w:val="0"/>
                <w:sz w:val="17"/>
              </w:rPr>
              <w:t>Schema inventory and rule eligibility list.</w:t>
            </w:r>
          </w:p>
        </w:tc>
      </w:tr>
      <w:tr>
        <w:tc>
          <w:tcPr>
            <w:tcW w:type="dxa" w:w="1440"/>
            <w:vAlign w:val="center"/>
            <w:shd w:fill="EDF3F8"/>
          </w:tcPr>
          <w:p>
            <w:pPr>
              <w:spacing w:after="0"/>
            </w:pPr>
            <w:r>
              <w:rPr>
                <w:b w:val="0"/>
                <w:sz w:val="17"/>
              </w:rPr>
              <w:t>0:15-0:35</w:t>
            </w:r>
          </w:p>
        </w:tc>
        <w:tc>
          <w:tcPr>
            <w:tcW w:type="dxa" w:w="4464"/>
            <w:vAlign w:val="center"/>
            <w:shd w:fill="EDF3F8"/>
          </w:tcPr>
          <w:p>
            <w:pPr>
              <w:spacing w:after="0"/>
            </w:pPr>
            <w:r>
              <w:rPr>
                <w:b w:val="0"/>
                <w:sz w:val="17"/>
              </w:rPr>
              <w:t>Data: loader/profile/safe joins. UI: Streamlit shell and file/data status.</w:t>
            </w:r>
          </w:p>
        </w:tc>
        <w:tc>
          <w:tcPr>
            <w:tcW w:type="dxa" w:w="4392"/>
            <w:vAlign w:val="center"/>
            <w:shd w:fill="EDF3F8"/>
          </w:tcPr>
          <w:p>
            <w:pPr>
              <w:spacing w:after="0"/>
            </w:pPr>
            <w:r>
              <w:rPr>
                <w:b w:val="0"/>
                <w:sz w:val="17"/>
              </w:rPr>
              <w:t>CSV loads and join health is visible.</w:t>
            </w:r>
          </w:p>
        </w:tc>
      </w:tr>
      <w:tr>
        <w:tc>
          <w:tcPr>
            <w:tcW w:type="dxa" w:w="1440"/>
            <w:vAlign w:val="center"/>
          </w:tcPr>
          <w:p>
            <w:pPr>
              <w:spacing w:after="0"/>
            </w:pPr>
            <w:r>
              <w:rPr>
                <w:b w:val="0"/>
                <w:sz w:val="17"/>
              </w:rPr>
              <w:t>0:35-1:05</w:t>
            </w:r>
          </w:p>
        </w:tc>
        <w:tc>
          <w:tcPr>
            <w:tcW w:type="dxa" w:w="4464"/>
            <w:vAlign w:val="center"/>
          </w:tcPr>
          <w:p>
            <w:pPr>
              <w:spacing w:after="0"/>
            </w:pPr>
            <w:r>
              <w:rPr>
                <w:b w:val="0"/>
                <w:sz w:val="17"/>
              </w:rPr>
              <w:t>Data: metrics and 2-3 rules. UI: KPIs and ranked alerts.</w:t>
            </w:r>
          </w:p>
        </w:tc>
        <w:tc>
          <w:tcPr>
            <w:tcW w:type="dxa" w:w="4392"/>
            <w:vAlign w:val="center"/>
          </w:tcPr>
          <w:p>
            <w:pPr>
              <w:spacing w:after="0"/>
            </w:pPr>
            <w:r>
              <w:rPr>
                <w:b w:val="0"/>
                <w:sz w:val="17"/>
              </w:rPr>
              <w:t>At least one real alert appears with evidence.</w:t>
            </w:r>
          </w:p>
        </w:tc>
      </w:tr>
      <w:tr>
        <w:tc>
          <w:tcPr>
            <w:tcW w:type="dxa" w:w="1440"/>
            <w:vAlign w:val="center"/>
            <w:shd w:fill="EDF3F8"/>
          </w:tcPr>
          <w:p>
            <w:pPr>
              <w:spacing w:after="0"/>
            </w:pPr>
            <w:r>
              <w:rPr>
                <w:b w:val="0"/>
                <w:sz w:val="17"/>
              </w:rPr>
              <w:t>1:05-1:30</w:t>
            </w:r>
          </w:p>
        </w:tc>
        <w:tc>
          <w:tcPr>
            <w:tcW w:type="dxa" w:w="4464"/>
            <w:vAlign w:val="center"/>
            <w:shd w:fill="EDF3F8"/>
          </w:tcPr>
          <w:p>
            <w:pPr>
              <w:spacing w:after="0"/>
            </w:pPr>
            <w:r>
              <w:rPr>
                <w:b w:val="0"/>
                <w:sz w:val="17"/>
              </w:rPr>
              <w:t>UI: active investigation, breakdown/chart, action panel. Data: edge-case guards.</w:t>
            </w:r>
          </w:p>
        </w:tc>
        <w:tc>
          <w:tcPr>
            <w:tcW w:type="dxa" w:w="4392"/>
            <w:vAlign w:val="center"/>
            <w:shd w:fill="EDF3F8"/>
          </w:tcPr>
          <w:p>
            <w:pPr>
              <w:spacing w:after="0"/>
            </w:pPr>
            <w:r>
              <w:rPr>
                <w:b w:val="0"/>
                <w:sz w:val="17"/>
              </w:rPr>
              <w:t>End-to-end manager flow works.</w:t>
            </w:r>
          </w:p>
        </w:tc>
      </w:tr>
      <w:tr>
        <w:tc>
          <w:tcPr>
            <w:tcW w:type="dxa" w:w="1440"/>
            <w:vAlign w:val="center"/>
          </w:tcPr>
          <w:p>
            <w:pPr>
              <w:spacing w:after="0"/>
            </w:pPr>
            <w:r>
              <w:rPr>
                <w:b w:val="0"/>
                <w:sz w:val="17"/>
              </w:rPr>
              <w:t>1:30-1:45</w:t>
            </w:r>
          </w:p>
        </w:tc>
        <w:tc>
          <w:tcPr>
            <w:tcW w:type="dxa" w:w="4464"/>
            <w:vAlign w:val="center"/>
          </w:tcPr>
          <w:p>
            <w:pPr>
              <w:spacing w:after="0"/>
            </w:pPr>
            <w:r>
              <w:rPr>
                <w:b w:val="0"/>
                <w:sz w:val="17"/>
              </w:rPr>
              <w:t>All: test unknown/missing fields, nulls, duplicates, and small samples.</w:t>
            </w:r>
          </w:p>
        </w:tc>
        <w:tc>
          <w:tcPr>
            <w:tcW w:type="dxa" w:w="4392"/>
            <w:vAlign w:val="center"/>
          </w:tcPr>
          <w:p>
            <w:pPr>
              <w:spacing w:after="0"/>
            </w:pPr>
            <w:r>
              <w:rPr>
                <w:b w:val="0"/>
                <w:sz w:val="17"/>
              </w:rPr>
              <w:t>No crashes; unavailable states are clear.</w:t>
            </w:r>
          </w:p>
        </w:tc>
      </w:tr>
      <w:tr>
        <w:tc>
          <w:tcPr>
            <w:tcW w:type="dxa" w:w="1440"/>
            <w:vAlign w:val="center"/>
            <w:shd w:fill="EDF3F8"/>
          </w:tcPr>
          <w:p>
            <w:pPr>
              <w:spacing w:after="0"/>
            </w:pPr>
            <w:r>
              <w:rPr>
                <w:b w:val="0"/>
                <w:sz w:val="17"/>
              </w:rPr>
              <w:t>1:45-2:00</w:t>
            </w:r>
          </w:p>
        </w:tc>
        <w:tc>
          <w:tcPr>
            <w:tcW w:type="dxa" w:w="4464"/>
            <w:vAlign w:val="center"/>
            <w:shd w:fill="EDF3F8"/>
          </w:tcPr>
          <w:p>
            <w:pPr>
              <w:spacing w:after="0"/>
            </w:pPr>
            <w:r>
              <w:rPr>
                <w:b w:val="0"/>
                <w:sz w:val="17"/>
              </w:rPr>
              <w:t>All: polish demo data path, rehearse 90-second story, capture README.</w:t>
            </w:r>
          </w:p>
        </w:tc>
        <w:tc>
          <w:tcPr>
            <w:tcW w:type="dxa" w:w="4392"/>
            <w:vAlign w:val="center"/>
            <w:shd w:fill="EDF3F8"/>
          </w:tcPr>
          <w:p>
            <w:pPr>
              <w:spacing w:after="0"/>
            </w:pPr>
            <w:r>
              <w:rPr>
                <w:b w:val="0"/>
                <w:sz w:val="17"/>
              </w:rPr>
              <w:t>Runnable demo plus concise assumptions.</w:t>
            </w:r>
          </w:p>
        </w:tc>
      </w:tr>
    </w:tbl>
    <w:p>
      <w:pPr>
        <w:spacing w:after="40"/>
      </w:pPr>
    </w:p>
    <w:p>
      <w:pPr>
        <w:spacing w:after="80"/>
      </w:pPr>
      <w:r>
        <w:t>If time slips, cut in this order: customer drilldown, campaign integration, inventory date alignment, extra charts, anomaly model. Preserve schema inspection, one deterministic alert, evidence, and action.</w:t>
      </w:r>
    </w:p>
    <w:p>
      <w:pPr>
        <w:pStyle w:val="Heading1"/>
      </w:pPr>
      <w:r>
        <w:t>10 Explicitly out of scope for Round 1</w:t>
      </w:r>
    </w:p>
    <w:p>
      <w:pPr>
        <w:pStyle w:val="ListBullet"/>
        <w:spacing w:after="20"/>
      </w:pPr>
      <w:r>
        <w:t>Production authentication, databases, scheduled jobs, cloud deployment, and role-based access.</w:t>
      </w:r>
    </w:p>
    <w:p>
      <w:pPr>
        <w:pStyle w:val="ListBullet"/>
        <w:spacing w:after="20"/>
      </w:pPr>
      <w:r>
        <w:t>Training a predictive ML model, causal claims, automated inventory optimization, or real-time integrations.</w:t>
      </w:r>
    </w:p>
    <w:p>
      <w:pPr>
        <w:pStyle w:val="ListBullet"/>
        <w:spacing w:after="20"/>
      </w:pPr>
      <w:r>
        <w:t>Perfect data cleaning or entity resolution beyond transparent key normalization and join checks.</w:t>
      </w:r>
    </w:p>
    <w:p>
      <w:pPr>
        <w:pStyle w:val="ListBullet"/>
        <w:spacing w:after="20"/>
      </w:pPr>
      <w:r>
        <w:t>Forecasting without adequate timestamp history; campaign attribution without verified campaign linkage.</w:t>
      </w:r>
    </w:p>
    <w:p>
      <w:pPr>
        <w:pStyle w:val="ListBullet"/>
        <w:spacing w:after="20"/>
      </w:pPr>
      <w:r>
        <w:t>Full profit accounting when cost/price fields are missing, incompatible, or synthetic.</w:t>
      </w:r>
    </w:p>
    <w:p>
      <w:pPr>
        <w:pStyle w:val="Heading1"/>
      </w:pPr>
      <w:r>
        <w:t>Demo narrative</w:t>
      </w:r>
    </w:p>
    <w:p>
      <w:pPr>
        <w:spacing w:after="80"/>
      </w:pPr>
      <w:r>
        <w:t>“We profile the CSVs first, so our dashboard does not invent a schema. We found this alert because the observed rate/value crossed a transparent threshold. The supporting breakdown points to this segment, and the next action is to investigate or change this specific operational lever. The screen separates observed evidence from any assumptions.”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