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924D5B"/>
          <w:sz w:val="20"/>
        </w:rPr>
        <w:t>FOOD TECHNOLOGY · STAGE 5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2F6B4F"/>
          <w:sz w:val="56"/>
        </w:rPr>
        <w:t>Food for Specific Needs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647068"/>
          <w:sz w:val="28"/>
        </w:rPr>
        <w:t>Planned versus actual delivery ledger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20"/>
              </w:rPr>
              <w:t>Use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20"/>
              </w:rPr>
              <w:t>Teacher planning, adjustment and evidence record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20"/>
              </w:rPr>
              <w:t>Course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20"/>
              </w:rPr>
              <w:t>Year 9 Term 2 — cohort conflict remains Teacher to confirm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20"/>
              </w:rPr>
              <w:t>Candidate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20"/>
              </w:rPr>
              <w:t>Local course build, 19 August 2026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20"/>
              </w:rPr>
              <w:t>Privacy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20"/>
              </w:rPr>
              <w:t>Do not record student medical details in this ledger</w:t>
            </w:r>
          </w:p>
        </w:tc>
      </w:tr>
    </w:tbl>
    <w:p>
      <w:r>
        <w:br w:type="page"/>
      </w:r>
    </w:p>
    <w:p>
      <w:pPr>
        <w:pStyle w:val="Heading1"/>
      </w:pPr>
      <w:r>
        <w:t>How to use this ledger</w:t>
      </w:r>
    </w:p>
    <w:p>
      <w:r>
        <w:rPr>
          <w:rFonts w:ascii="Calibri" w:hAnsi="Calibri"/>
          <w:b w:val="0"/>
          <w:i w:val="0"/>
          <w:color w:val="243229"/>
          <w:sz w:val="22"/>
        </w:rPr>
        <w:t>Record actual minutes and the next concrete adjustment after each lesson or week. Keep individual medical details in approved school systems, not in this document. The planned sequence assumes a 10-week unit and can be split across local timetables.</w:t>
      </w:r>
    </w:p>
    <w:p>
      <w:pPr>
        <w:pStyle w:val="Heading1"/>
      </w:pPr>
      <w:r>
        <w:t>Ten-week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30"/>
        <w:gridCol w:w="1100"/>
        <w:gridCol w:w="620"/>
        <w:gridCol w:w="1900"/>
        <w:gridCol w:w="800"/>
        <w:gridCol w:w="1400"/>
        <w:gridCol w:w="700"/>
        <w:gridCol w:w="1200"/>
        <w:gridCol w:w="1210"/>
      </w:tblGrid>
      <w:tr>
        <w:trPr>
          <w:cantSplit/>
          <w:cantSplit/>
        </w:trPr>
        <w:tc>
          <w:tcPr>
            <w:tcW w:type="dxa" w:w="4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Wk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Focus</w:t>
            </w:r>
          </w:p>
        </w:tc>
        <w:tc>
          <w:tcPr>
            <w:tcW w:type="dxa" w:w="6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Plan min</w:t>
            </w:r>
          </w:p>
        </w:tc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Planned learning</w:t>
            </w:r>
          </w:p>
        </w:tc>
        <w:tc>
          <w:tcPr>
            <w:tcW w:type="dxa" w:w="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Routes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Evidence target</w:t>
            </w:r>
          </w:p>
        </w:tc>
        <w:tc>
          <w:tcPr>
            <w:tcW w:type="dxa" w:w="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Actual min</w:t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What changed</w:t>
            </w:r>
          </w:p>
        </w:tc>
        <w:tc>
          <w:tcPr>
            <w:tcW w:type="dxa" w:w="12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Next gate</w:t>
            </w:r>
          </w:p>
        </w:tc>
      </w:tr>
      <w:tr>
        <w:trPr>
          <w:cantSplit/>
        </w:trPr>
        <w:tc>
          <w:tcPr>
            <w:tcW w:type="dxa" w:w="4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Launch specific needs</w:t>
            </w:r>
          </w:p>
        </w:tc>
        <w:tc>
          <w:tcPr>
            <w:tcW w:type="dxa" w:w="6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180</w:t>
            </w:r>
          </w:p>
        </w:tc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Circumstance sorter; source boundary; brief</w:t>
            </w:r>
          </w:p>
        </w:tc>
        <w:tc>
          <w:tcPr>
            <w:tcW w:type="dxa" w:w="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M1 S1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Saved activity + written response</w:t>
            </w:r>
          </w:p>
        </w:tc>
        <w:tc>
          <w:tcPr>
            <w:tcW w:type="dxa" w:w="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Confirm Year 9 cohort and supplied circumstance cards</w:t>
            </w:r>
          </w:p>
        </w:tc>
      </w:tr>
      <w:tr>
        <w:trPr>
          <w:cantSplit/>
        </w:trPr>
        <w:tc>
          <w:tcPr>
            <w:tcW w:type="dxa" w:w="4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2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Food-choice factors and meal planning</w:t>
            </w:r>
          </w:p>
        </w:tc>
        <w:tc>
          <w:tcPr>
            <w:tcW w:type="dxa" w:w="6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180</w:t>
            </w:r>
          </w:p>
        </w:tc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Choice-factor matrix; one-day plan</w:t>
            </w:r>
          </w:p>
        </w:tc>
        <w:tc>
          <w:tcPr>
            <w:tcW w:type="dxa" w:w="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M1 S2–S3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Matrix + meal-plan rationale</w:t>
            </w:r>
          </w:p>
        </w:tc>
        <w:tc>
          <w:tcPr>
            <w:tcW w:type="dxa" w:w="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Confirm device access and local saving routine</w:t>
            </w:r>
          </w:p>
        </w:tc>
      </w:tr>
      <w:tr>
        <w:trPr>
          <w:cantSplit/>
        </w:trPr>
        <w:tc>
          <w:tcPr>
            <w:tcW w:type="dxa" w:w="4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3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Culture, belief and taboos</w:t>
            </w:r>
          </w:p>
        </w:tc>
        <w:tc>
          <w:tcPr>
            <w:tcW w:type="dxa" w:w="6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180</w:t>
            </w:r>
          </w:p>
        </w:tc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Stereotype rewrite; ingredient/process audit</w:t>
            </w:r>
          </w:p>
        </w:tc>
        <w:tc>
          <w:tcPr>
            <w:tcW w:type="dxa" w:w="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M2 S1–S2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Respectful claim + audit</w:t>
            </w:r>
          </w:p>
        </w:tc>
        <w:tc>
          <w:tcPr>
            <w:tcW w:type="dxa" w:w="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Use local authority for any local Aboriginal content</w:t>
            </w:r>
          </w:p>
        </w:tc>
      </w:tr>
      <w:tr>
        <w:trPr>
          <w:cantSplit/>
        </w:trPr>
        <w:tc>
          <w:tcPr>
            <w:tcW w:type="dxa" w:w="4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4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Evidence and lifecycle change</w:t>
            </w:r>
          </w:p>
        </w:tc>
        <w:tc>
          <w:tcPr>
            <w:tcW w:type="dxa" w:w="6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180</w:t>
            </w:r>
          </w:p>
        </w:tc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Source ladder; lifecycle map</w:t>
            </w:r>
          </w:p>
        </w:tc>
        <w:tc>
          <w:tcPr>
            <w:tcW w:type="dxa" w:w="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M2 S3; M3 S1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Source evaluation + stage response</w:t>
            </w:r>
          </w:p>
        </w:tc>
        <w:tc>
          <w:tcPr>
            <w:tcW w:type="dxa" w:w="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Teacher selects authorised sources</w:t>
            </w:r>
          </w:p>
        </w:tc>
      </w:tr>
      <w:tr>
        <w:trPr>
          <w:cantSplit/>
        </w:trPr>
        <w:tc>
          <w:tcPr>
            <w:tcW w:type="dxa" w:w="4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5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Adolescent and lifecycle meal design</w:t>
            </w:r>
          </w:p>
        </w:tc>
        <w:tc>
          <w:tcPr>
            <w:tcW w:type="dxa" w:w="6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180</w:t>
            </w:r>
          </w:p>
        </w:tc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School-day pattern; design criteria</w:t>
            </w:r>
          </w:p>
        </w:tc>
        <w:tc>
          <w:tcPr>
            <w:tcW w:type="dxa" w:w="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M3 S2–S3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Meal concept + criteria</w:t>
            </w:r>
          </w:p>
        </w:tc>
        <w:tc>
          <w:tcPr>
            <w:tcW w:type="dxa" w:w="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No personal diagnosis, body comparison or supplement advice</w:t>
            </w:r>
          </w:p>
        </w:tc>
      </w:tr>
      <w:tr>
        <w:trPr>
          <w:cantSplit/>
        </w:trPr>
        <w:tc>
          <w:tcPr>
            <w:tcW w:type="dxa" w:w="4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6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Allergy and intolerance</w:t>
            </w:r>
          </w:p>
        </w:tc>
        <w:tc>
          <w:tcPr>
            <w:tcW w:type="dxa" w:w="6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180</w:t>
            </w:r>
          </w:p>
        </w:tc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Classification; verified-management boundary</w:t>
            </w:r>
          </w:p>
        </w:tc>
        <w:tc>
          <w:tcPr>
            <w:tcW w:type="dxa" w:w="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M4 S1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Scenario decisions</w:t>
            </w:r>
          </w:p>
        </w:tc>
        <w:tc>
          <w:tcPr>
            <w:tcW w:type="dxa" w:w="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Apply school emergency and individual-plan procedures</w:t>
            </w:r>
          </w:p>
        </w:tc>
      </w:tr>
      <w:tr>
        <w:trPr>
          <w:cantSplit/>
        </w:trPr>
        <w:tc>
          <w:tcPr>
            <w:tcW w:type="dxa" w:w="4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7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Labels and cross-contact</w:t>
            </w:r>
          </w:p>
        </w:tc>
        <w:tc>
          <w:tcPr>
            <w:tcW w:type="dxa" w:w="6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180</w:t>
            </w:r>
          </w:p>
        </w:tc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Mock label and workflow audit; practical planning</w:t>
            </w:r>
          </w:p>
        </w:tc>
        <w:tc>
          <w:tcPr>
            <w:tcW w:type="dxa" w:w="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M4 S2–S3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Control pathway</w:t>
            </w:r>
          </w:p>
        </w:tc>
        <w:tc>
          <w:tcPr>
            <w:tcW w:type="dxa" w:w="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Teacher confirms practical, labels and controls</w:t>
            </w:r>
          </w:p>
        </w:tc>
      </w:tr>
      <w:tr>
        <w:trPr>
          <w:cantSplit/>
        </w:trPr>
        <w:tc>
          <w:tcPr>
            <w:tcW w:type="dxa" w:w="4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8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Modified and fortified foods</w:t>
            </w:r>
          </w:p>
        </w:tc>
        <w:tc>
          <w:tcPr>
            <w:tcW w:type="dxa" w:w="6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180</w:t>
            </w:r>
          </w:p>
        </w:tc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Claim-versus-evidence product comparison</w:t>
            </w:r>
          </w:p>
        </w:tc>
        <w:tc>
          <w:tcPr>
            <w:tcW w:type="dxa" w:w="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M5 S1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Product evaluation</w:t>
            </w:r>
          </w:p>
        </w:tc>
        <w:tc>
          <w:tcPr>
            <w:tcW w:type="dxa" w:w="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Use current Australian labels</w:t>
            </w:r>
          </w:p>
        </w:tc>
      </w:tr>
      <w:tr>
        <w:trPr>
          <w:cantSplit/>
        </w:trPr>
        <w:tc>
          <w:tcPr>
            <w:tcW w:type="dxa" w:w="4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9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Fibre and support networks</w:t>
            </w:r>
          </w:p>
        </w:tc>
        <w:tc>
          <w:tcPr>
            <w:tcW w:type="dxa" w:w="6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180</w:t>
            </w:r>
          </w:p>
        </w:tc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Fibre pattern; support map</w:t>
            </w:r>
          </w:p>
        </w:tc>
        <w:tc>
          <w:tcPr>
            <w:tcW w:type="dxa" w:w="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M5 S2–S3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Pattern improvement + network evaluation</w:t>
            </w:r>
          </w:p>
        </w:tc>
        <w:tc>
          <w:tcPr>
            <w:tcW w:type="dxa" w:w="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Use population guidance only</w:t>
            </w:r>
          </w:p>
        </w:tc>
      </w:tr>
      <w:tr>
        <w:trPr>
          <w:cantSplit/>
        </w:trPr>
        <w:tc>
          <w:tcPr>
            <w:tcW w:type="dxa" w:w="4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10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Folio synthesis and practical evidence</w:t>
            </w:r>
          </w:p>
        </w:tc>
        <w:tc>
          <w:tcPr>
            <w:tcW w:type="dxa" w:w="6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180</w:t>
            </w:r>
          </w:p>
        </w:tc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Evaluate against criteria; improvement; backup/export</w:t>
            </w:r>
          </w:p>
        </w:tc>
        <w:tc>
          <w:tcPr>
            <w:tcW w:type="dxa" w:w="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Folio and course review</w:t>
            </w:r>
          </w:p>
        </w:tc>
        <w:tc>
          <w:tcPr>
            <w:tcW w:type="dxa" w:w="1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Completed folio export</w:t>
            </w:r>
          </w:p>
        </w:tc>
        <w:tc>
          <w:tcPr>
            <w:tcW w:type="dxa" w:w="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2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Current formal notification not yet added</w:t>
            </w:r>
          </w:p>
        </w:tc>
      </w:tr>
    </w:tbl>
    <w:p>
      <w:pPr>
        <w:pStyle w:val="Heading1"/>
      </w:pPr>
      <w:r>
        <w:t>Practical readiness 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200"/>
        <w:gridCol w:w="1500"/>
        <w:gridCol w:w="1700"/>
        <w:gridCol w:w="2960"/>
      </w:tblGrid>
      <w:tr>
        <w:trPr>
          <w:cantSplit/>
          <w:cantSplit/>
        </w:trPr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Check</w:t>
            </w:r>
          </w:p>
        </w:tc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Week/date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Confirmed by</w:t>
            </w:r>
          </w:p>
        </w:tc>
        <w:tc>
          <w:tcPr>
            <w:tcW w:type="dxa" w:w="2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Notes / action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Recipe selected from supplied set</w:t>
            </w:r>
          </w:p>
        </w:tc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Current ingredient labels checked</w:t>
            </w:r>
          </w:p>
        </w:tc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Individual management information available where required</w:t>
            </w:r>
          </w:p>
        </w:tc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Local allergen and cross-contact controls confirmed</w:t>
            </w:r>
          </w:p>
        </w:tc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Equipment and workflow available</w:t>
            </w:r>
          </w:p>
        </w:tc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Emergency and stop procedures understood</w:t>
            </w:r>
          </w:p>
        </w:tc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</w:tr>
    </w:tbl>
    <w:p>
      <w:pPr>
        <w:pStyle w:val="Heading1"/>
      </w:pPr>
      <w:r>
        <w:t>Evidence and adjustment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2600"/>
        <w:gridCol w:w="2200"/>
        <w:gridCol w:w="2360"/>
      </w:tblGrid>
      <w:tr>
        <w:trPr>
          <w:cantSplit/>
          <w:cantSplit/>
        </w:trPr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Evidence source</w:t>
            </w:r>
          </w:p>
        </w:tc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What students could do</w:t>
            </w:r>
          </w:p>
        </w:tc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Barrier observed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Adjustment for next cycle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Knowledge checks</w:t>
            </w:r>
          </w:p>
        </w:tc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Applied activities</w:t>
            </w:r>
          </w:p>
        </w:tc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Folio stages</w:t>
            </w:r>
          </w:p>
        </w:tc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Practical observations</w:t>
            </w:r>
          </w:p>
        </w:tc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Assessment evidence</w:t>
            </w:r>
          </w:p>
        </w:tc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</w:r>
          </w:p>
        </w:tc>
      </w:tr>
    </w:tbl>
    <w:p>
      <w:pPr>
        <w:pStyle w:val="Heading1"/>
      </w:pPr>
      <w:r>
        <w:t>End-of-unit review</w:t>
      </w:r>
    </w:p>
    <w:p>
      <w:pPr>
        <w:spacing w:after="560"/>
      </w:pPr>
      <w:r>
        <w:rPr>
          <w:rFonts w:ascii="Calibri" w:hAnsi="Calibri"/>
          <w:b/>
          <w:i w:val="0"/>
          <w:color w:val="2F6B4F"/>
          <w:sz w:val="22"/>
        </w:rPr>
        <w:t>Which source or authority boundary did students apply confidently?</w:t>
      </w:r>
    </w:p>
    <w:p>
      <w:pPr>
        <w:spacing w:after="560"/>
      </w:pPr>
      <w:r>
        <w:rPr>
          <w:rFonts w:ascii="Calibri" w:hAnsi="Calibri"/>
          <w:b/>
          <w:i w:val="0"/>
          <w:color w:val="2F6B4F"/>
          <w:sz w:val="22"/>
        </w:rPr>
        <w:t>Which concept needs reteaching before the next practical?</w:t>
      </w:r>
    </w:p>
    <w:p>
      <w:pPr>
        <w:spacing w:after="560"/>
      </w:pPr>
      <w:r>
        <w:rPr>
          <w:rFonts w:ascii="Calibri" w:hAnsi="Calibri"/>
          <w:b/>
          <w:i w:val="0"/>
          <w:color w:val="2F6B4F"/>
          <w:sz w:val="22"/>
        </w:rPr>
        <w:t>Did the saving, backup and print routines preserve student evidence?</w:t>
      </w:r>
    </w:p>
    <w:p>
      <w:pPr>
        <w:spacing w:after="560"/>
      </w:pPr>
      <w:r>
        <w:rPr>
          <w:rFonts w:ascii="Calibri" w:hAnsi="Calibri"/>
          <w:b/>
          <w:i w:val="0"/>
          <w:color w:val="2F6B4F"/>
          <w:sz w:val="22"/>
        </w:rPr>
        <w:t>What must be updated before the course is reused?</w:t>
      </w:r>
    </w:p>
    <w:p>
      <w:pPr>
        <w:spacing w:after="560"/>
      </w:pPr>
      <w:r>
        <w:rPr>
          <w:rFonts w:ascii="Calibri" w:hAnsi="Calibri"/>
          <w:b/>
          <w:i w:val="0"/>
          <w:color w:val="2F6B4F"/>
          <w:sz w:val="22"/>
        </w:rPr>
        <w:t>Which Teacher to confirm item remains unresolved?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068"/>
        <w:sz w:val="17"/>
      </w:rPr>
      <w:t xml:space="preserve">Wagga Wagga High School · Food for Specific Needs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068"/>
        <w:sz w:val="18"/>
      </w:rPr>
      <w:t>Delivery Ledger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2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F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F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432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