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Calibri" w:hAnsi="Calibri"/>
          <w:b/>
          <w:i w:val="0"/>
          <w:color w:val="924D5B"/>
          <w:sz w:val="20"/>
        </w:rPr>
        <w:t>FOOD TECHNOLOGY · STAGE 5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2F6B4F"/>
          <w:sz w:val="56"/>
        </w:rPr>
        <w:t>Food for Specific Needs</w:t>
      </w:r>
    </w:p>
    <w:p>
      <w:pPr>
        <w:spacing w:after="560"/>
        <w:jc w:val="center"/>
      </w:pPr>
      <w:r>
        <w:rPr>
          <w:rFonts w:ascii="Calibri" w:hAnsi="Calibri"/>
          <w:b w:val="0"/>
          <w:i w:val="0"/>
          <w:color w:val="647068"/>
          <w:sz w:val="28"/>
        </w:rPr>
        <w:t>Teacher program and connected website route map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20"/>
              </w:rPr>
              <w:t>Cohort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20"/>
              </w:rPr>
              <w:t>Year 9, Term 2 — Teacher to confirm against older Year 10 program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20"/>
              </w:rPr>
              <w:t>Authority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20"/>
              </w:rPr>
              <w:t>Food Technology 7–10 Syllabus (2019) is current to teach in 2026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20"/>
              </w:rPr>
              <w:t>Candidate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20"/>
              </w:rPr>
              <w:t>Local integrated course, built 19 August 2026</w:t>
            </w:r>
          </w:p>
        </w:tc>
      </w:tr>
      <w:tr>
        <w:trPr>
          <w:cantSplit/>
        </w:trPr>
        <w:tc>
          <w:tcPr>
            <w:tcW w:type="dxa" w:w="2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20"/>
              </w:rPr>
              <w:t>Release ceiling</w:t>
            </w:r>
          </w:p>
        </w:tc>
        <w:tc>
          <w:tcPr>
            <w:tcW w:type="dxa" w:w="66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20"/>
              </w:rPr>
              <w:t>Local acceptance only; no publication authority recorded</w:t>
            </w:r>
          </w:p>
        </w:tc>
      </w:tr>
    </w:tbl>
    <w:p>
      <w:r>
        <w:br w:type="page"/>
      </w:r>
    </w:p>
    <w:p>
      <w:pPr>
        <w:pStyle w:val="Heading1"/>
      </w:pPr>
      <w:r>
        <w:t>1. Authority and fact boundary</w:t>
      </w:r>
    </w:p>
    <w:p>
      <w:r>
        <w:rPr>
          <w:rFonts w:ascii="Calibri" w:hAnsi="Calibri"/>
          <w:b w:val="0"/>
          <w:i w:val="0"/>
          <w:color w:val="243229"/>
          <w:sz w:val="22"/>
        </w:rPr>
        <w:t>This program is built from the teacher-provided Student Workbook F4SN v7, the 10-week unit program, nine recipe documents, Classroom classwork and the current 2026 Year 9 assessment handbook. Current Australian government and recognised allergy sources were used to replace or constrain high-risk health claims.</w:t>
      </w:r>
    </w:p>
    <w:p>
      <w:r>
        <w:rPr>
          <w:rFonts w:ascii="Calibri" w:hAnsi="Calibri"/>
          <w:b w:val="0"/>
          <w:i w:val="0"/>
          <w:color w:val="243229"/>
          <w:sz w:val="22"/>
        </w:rPr>
        <w:t>The Food Technology 7–10 Syllabus (2019) remains the current syllabus to teach in 2026. The 2025 syllabus is available for planning in 2026–27 and is scheduled for implementation from 2028; any early implementation is a school decision.</w:t>
      </w:r>
    </w:p>
    <w:p>
      <w:pPr>
        <w:pStyle w:val="Heading2"/>
      </w:pPr>
      <w:r>
        <w:t>Teacher to confirm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9"/>
          <w:sz w:val="22"/>
        </w:rPr>
        <w:t>Year 9 Classroom identity versus Year 10 in the older program PDF.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9"/>
          <w:sz w:val="22"/>
        </w:rPr>
        <w:t>2019 syllabus continuation versus any school-approved early implementation of the 2025 syllabus.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9"/>
          <w:sz w:val="22"/>
        </w:rPr>
        <w:t>2026 practical sequence, ingredient ordering, local hygiene/allergy controls and individual management plans.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9"/>
          <w:sz w:val="22"/>
        </w:rPr>
        <w:t>Any current Term 2 formal notification or marking instrument.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9"/>
          <w:sz w:val="22"/>
        </w:rPr>
        <w:t>Local authority and permission for any local Aboriginal Cultural Knowledge.</w:t>
      </w:r>
    </w:p>
    <w:p>
      <w:pPr>
        <w:pStyle w:val="Heading1"/>
      </w:pPr>
      <w:r>
        <w:t>2. Course intent</w:t>
      </w:r>
    </w:p>
    <w:p>
      <w:r>
        <w:rPr>
          <w:rFonts w:ascii="Calibri" w:hAnsi="Calibri"/>
          <w:b w:val="0"/>
          <w:i w:val="0"/>
          <w:color w:val="243229"/>
          <w:sz w:val="22"/>
        </w:rPr>
        <w:t>Students investigate why people have specific food needs, evaluate information, plan respectful and safer food responses, and preserve design evidence in a revisitable folio. Medical and cultural authority boundaries are taught as part of design responsibility.</w:t>
      </w:r>
    </w:p>
    <w:p>
      <w:pPr>
        <w:pStyle w:val="Heading2"/>
      </w:pPr>
      <w:r>
        <w:t>Outcome alignment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600"/>
        <w:gridCol w:w="7760"/>
      </w:tblGrid>
      <w:tr>
        <w:trPr>
          <w:cantSplit/>
          <w:cantSplit/>
        </w:trPr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Outcome</w:t>
            </w:r>
          </w:p>
        </w:tc>
        <w:tc>
          <w:tcPr>
            <w:tcW w:type="dxa" w:w="7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Exact syllabus relationship used in this unit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FT5-1</w:t>
            </w:r>
          </w:p>
        </w:tc>
        <w:tc>
          <w:tcPr>
            <w:tcW w:type="dxa" w:w="7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Demonstrates hygienic handling of food to ensure a safe and appealing product.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FT5-2</w:t>
            </w:r>
          </w:p>
        </w:tc>
        <w:tc>
          <w:tcPr>
            <w:tcW w:type="dxa" w:w="7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Identifies, assesses and manages risks of injury and WHS issues associated with handling food.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FT5-5</w:t>
            </w:r>
          </w:p>
        </w:tc>
        <w:tc>
          <w:tcPr>
            <w:tcW w:type="dxa" w:w="7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Applies appropriate methods of food processing, preparation and storage.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FT5-6</w:t>
            </w:r>
          </w:p>
        </w:tc>
        <w:tc>
          <w:tcPr>
            <w:tcW w:type="dxa" w:w="7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Describes the relationship between food consumption, nutritional value and the health of individuals and communities.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FT5-7</w:t>
            </w:r>
          </w:p>
        </w:tc>
        <w:tc>
          <w:tcPr>
            <w:tcW w:type="dxa" w:w="7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Justifies food choices by analysing factors that influence eating habits.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FT5-8</w:t>
            </w:r>
          </w:p>
        </w:tc>
        <w:tc>
          <w:tcPr>
            <w:tcW w:type="dxa" w:w="7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Collects, evaluates and applies information from a variety of sources.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FT5-9</w:t>
            </w:r>
          </w:p>
        </w:tc>
        <w:tc>
          <w:tcPr>
            <w:tcW w:type="dxa" w:w="7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Communicates ideas and information using a range of media and appropriate terminology.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FT5-10</w:t>
            </w:r>
          </w:p>
        </w:tc>
        <w:tc>
          <w:tcPr>
            <w:tcW w:type="dxa" w:w="7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Selects and employs appropriate techniques and equipment for food-specific purposes.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FT5-11</w:t>
            </w:r>
          </w:p>
        </w:tc>
        <w:tc>
          <w:tcPr>
            <w:tcW w:type="dxa" w:w="7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Plans, prepares, presents and evaluates food solutions for specific purposes.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FT5-12</w:t>
            </w:r>
          </w:p>
        </w:tc>
        <w:tc>
          <w:tcPr>
            <w:tcW w:type="dxa" w:w="7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Examines the relationship between food, technology and society.</w:t>
            </w:r>
          </w:p>
        </w:tc>
      </w:tr>
      <w:tr>
        <w:trPr>
          <w:cantSplit/>
        </w:trPr>
        <w:tc>
          <w:tcPr>
            <w:tcW w:type="dxa" w:w="1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FT5-13</w:t>
            </w:r>
          </w:p>
        </w:tc>
        <w:tc>
          <w:tcPr>
            <w:tcW w:type="dxa" w:w="77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Evaluates the impact of activities related to food on the individual, society and the environment.</w:t>
            </w:r>
          </w:p>
        </w:tc>
      </w:tr>
    </w:tbl>
    <w:p>
      <w:r>
        <w:rPr>
          <w:rFonts w:ascii="Calibri" w:hAnsi="Calibri"/>
          <w:b w:val="0"/>
          <w:i w:val="0"/>
          <w:color w:val="243229"/>
          <w:sz w:val="22"/>
        </w:rPr>
        <w:t>Outcome codes are kept in teacher planning; student pages use learning goals in plain language. Final outcome selection remains subject to the current school program and teacher sign-off.</w:t>
      </w:r>
    </w:p>
    <w:p>
      <w:pPr>
        <w:pStyle w:val="Heading1"/>
      </w:pPr>
      <w:r>
        <w:t>3. Connected course architecture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2600"/>
        <w:gridCol w:w="3960"/>
        <w:gridCol w:w="2800"/>
      </w:tblGrid>
      <w:tr>
        <w:trPr>
          <w:cantSplit/>
          <w:cantSplit/>
        </w:trPr>
        <w:tc>
          <w:tcPr>
            <w:tcW w:type="dxa" w:w="2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Module</w:t>
            </w:r>
          </w:p>
        </w:tc>
        <w:tc>
          <w:tcPr>
            <w:tcW w:type="dxa" w:w="39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Teaching focus</w:t>
            </w:r>
          </w:p>
        </w:tc>
        <w:tc>
          <w:tcPr>
            <w:tcW w:type="dxa" w:w="2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Student evidence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1. Understanding specific food needs</w:t>
            </w:r>
          </w:p>
        </w:tc>
        <w:tc>
          <w:tcPr>
            <w:tcW w:type="dxa" w:w="39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Circumstances; food-choice factors; meal planning</w:t>
            </w:r>
          </w:p>
        </w:tc>
        <w:tc>
          <w:tcPr>
            <w:tcW w:type="dxa" w:w="2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3 knowledge checks (30 questions), 3 saved responses, 3 applied activities, 3 section visuals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2. Culture, belief and food practices</w:t>
            </w:r>
          </w:p>
        </w:tc>
        <w:tc>
          <w:tcPr>
            <w:tcW w:type="dxa" w:w="39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Food taboos; religious and ethical choices; respectful investigation</w:t>
            </w:r>
          </w:p>
        </w:tc>
        <w:tc>
          <w:tcPr>
            <w:tcW w:type="dxa" w:w="2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3 knowledge checks (30 questions), 3 saved responses, 3 applied activities, 3 section visuals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3. Nutrition through the lifecycle</w:t>
            </w:r>
          </w:p>
        </w:tc>
        <w:tc>
          <w:tcPr>
            <w:tcW w:type="dxa" w:w="39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Lifecycle change; adolescent nutrition; lifecycle meal design</w:t>
            </w:r>
          </w:p>
        </w:tc>
        <w:tc>
          <w:tcPr>
            <w:tcW w:type="dxa" w:w="2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3 knowledge checks (30 questions), 3 saved responses, 3 applied activities, 3 section visuals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4. Allergies, intolerance and safer planning</w:t>
            </w:r>
          </w:p>
        </w:tc>
        <w:tc>
          <w:tcPr>
            <w:tcW w:type="dxa" w:w="39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Allergy versus intolerance; labels and cross-contact; diagnosed-need planning</w:t>
            </w:r>
          </w:p>
        </w:tc>
        <w:tc>
          <w:tcPr>
            <w:tcW w:type="dxa" w:w="2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3 knowledge checks (30 questions), 3 saved responses, 3 applied activities, 3 section visuals</w:t>
            </w:r>
          </w:p>
        </w:tc>
      </w:tr>
      <w:tr>
        <w:trPr>
          <w:cantSplit/>
        </w:trPr>
        <w:tc>
          <w:tcPr>
            <w:tcW w:type="dxa" w:w="26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5. Modified foods, fibre and support</w:t>
            </w:r>
          </w:p>
        </w:tc>
        <w:tc>
          <w:tcPr>
            <w:tcW w:type="dxa" w:w="39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Modified and fortified foods; dietary fibre; support networks</w:t>
            </w:r>
          </w:p>
        </w:tc>
        <w:tc>
          <w:tcPr>
            <w:tcW w:type="dxa" w:w="2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3 knowledge checks (30 questions), 3 saved responses, 3 applied activities, 3 section visuals</w:t>
            </w:r>
          </w:p>
        </w:tc>
      </w:tr>
    </w:tbl>
    <w:p>
      <w:r>
        <w:rPr>
          <w:rFonts w:ascii="Calibri" w:hAnsi="Calibri"/>
          <w:b w:val="0"/>
          <w:i w:val="0"/>
          <w:color w:val="243229"/>
          <w:sz w:val="22"/>
        </w:rPr>
        <w:t>Shared routes: home, activities, project folio, nine-recipe library, validated video library, current assessment boundary and teacher resources. All student responses use the namespace fsn:y9t2 and are stored only in the current browser.</w:t>
      </w:r>
    </w:p>
    <w:p>
      <w:pPr>
        <w:pStyle w:val="Heading1"/>
      </w:pPr>
      <w:r>
        <w:t>4. Ten-week delivery sequence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500"/>
        <w:gridCol w:w="1350"/>
        <w:gridCol w:w="2260"/>
        <w:gridCol w:w="1100"/>
        <w:gridCol w:w="1700"/>
        <w:gridCol w:w="2450"/>
      </w:tblGrid>
      <w:tr>
        <w:trPr>
          <w:cantSplit/>
          <w:cantSplit/>
        </w:trPr>
        <w:tc>
          <w:tcPr>
            <w:tcW w:type="dxa" w:w="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Wk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Focus</w:t>
            </w:r>
          </w:p>
        </w:tc>
        <w:tc>
          <w:tcPr>
            <w:tcW w:type="dxa" w:w="22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Learning sequence</w:t>
            </w:r>
          </w:p>
        </w:tc>
        <w:tc>
          <w:tcPr>
            <w:tcW w:type="dxa" w:w="1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Routes</w:t>
            </w:r>
          </w:p>
        </w:tc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Evidence</w:t>
            </w:r>
          </w:p>
        </w:tc>
        <w:tc>
          <w:tcPr>
            <w:tcW w:type="dxa" w:w="2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Teacher gate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1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Launch specific needs</w:t>
            </w:r>
          </w:p>
        </w:tc>
        <w:tc>
          <w:tcPr>
            <w:tcW w:type="dxa" w:w="22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Circumstance sorter; source boundary; brief</w:t>
            </w:r>
          </w:p>
        </w:tc>
        <w:tc>
          <w:tcPr>
            <w:tcW w:type="dxa" w:w="1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M1 S1</w:t>
            </w:r>
          </w:p>
        </w:tc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Saved activity + written response</w:t>
            </w:r>
          </w:p>
        </w:tc>
        <w:tc>
          <w:tcPr>
            <w:tcW w:type="dxa" w:w="2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Confirm Year 9 cohort and supplied circumstance cards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2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Food-choice factors and meal planning</w:t>
            </w:r>
          </w:p>
        </w:tc>
        <w:tc>
          <w:tcPr>
            <w:tcW w:type="dxa" w:w="22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Choice-factor matrix; one-day plan</w:t>
            </w:r>
          </w:p>
        </w:tc>
        <w:tc>
          <w:tcPr>
            <w:tcW w:type="dxa" w:w="1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M1 S2–S3</w:t>
            </w:r>
          </w:p>
        </w:tc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Matrix + meal-plan rationale</w:t>
            </w:r>
          </w:p>
        </w:tc>
        <w:tc>
          <w:tcPr>
            <w:tcW w:type="dxa" w:w="2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Confirm device access and local saving routine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3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Culture, belief and taboos</w:t>
            </w:r>
          </w:p>
        </w:tc>
        <w:tc>
          <w:tcPr>
            <w:tcW w:type="dxa" w:w="22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Stereotype rewrite; ingredient/process audit</w:t>
            </w:r>
          </w:p>
        </w:tc>
        <w:tc>
          <w:tcPr>
            <w:tcW w:type="dxa" w:w="1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M2 S1–S2</w:t>
            </w:r>
          </w:p>
        </w:tc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Respectful claim + audit</w:t>
            </w:r>
          </w:p>
        </w:tc>
        <w:tc>
          <w:tcPr>
            <w:tcW w:type="dxa" w:w="2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Use local authority for any local Aboriginal content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4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Evidence and lifecycle change</w:t>
            </w:r>
          </w:p>
        </w:tc>
        <w:tc>
          <w:tcPr>
            <w:tcW w:type="dxa" w:w="22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Source ladder; lifecycle map</w:t>
            </w:r>
          </w:p>
        </w:tc>
        <w:tc>
          <w:tcPr>
            <w:tcW w:type="dxa" w:w="1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M2 S3; M3 S1</w:t>
            </w:r>
          </w:p>
        </w:tc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Source evaluation + stage response</w:t>
            </w:r>
          </w:p>
        </w:tc>
        <w:tc>
          <w:tcPr>
            <w:tcW w:type="dxa" w:w="2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Teacher selects authorised sources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5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Adolescent and lifecycle meal design</w:t>
            </w:r>
          </w:p>
        </w:tc>
        <w:tc>
          <w:tcPr>
            <w:tcW w:type="dxa" w:w="22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School-day pattern; design criteria</w:t>
            </w:r>
          </w:p>
        </w:tc>
        <w:tc>
          <w:tcPr>
            <w:tcW w:type="dxa" w:w="1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M3 S2–S3</w:t>
            </w:r>
          </w:p>
        </w:tc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Meal concept + criteria</w:t>
            </w:r>
          </w:p>
        </w:tc>
        <w:tc>
          <w:tcPr>
            <w:tcW w:type="dxa" w:w="2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No personal diagnosis, body comparison or supplement advice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6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Allergy and intolerance</w:t>
            </w:r>
          </w:p>
        </w:tc>
        <w:tc>
          <w:tcPr>
            <w:tcW w:type="dxa" w:w="22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Classification; verified-management boundary</w:t>
            </w:r>
          </w:p>
        </w:tc>
        <w:tc>
          <w:tcPr>
            <w:tcW w:type="dxa" w:w="1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M4 S1</w:t>
            </w:r>
          </w:p>
        </w:tc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Scenario decisions</w:t>
            </w:r>
          </w:p>
        </w:tc>
        <w:tc>
          <w:tcPr>
            <w:tcW w:type="dxa" w:w="2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Apply school emergency and individual-plan procedures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7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Labels and cross-contact</w:t>
            </w:r>
          </w:p>
        </w:tc>
        <w:tc>
          <w:tcPr>
            <w:tcW w:type="dxa" w:w="22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Mock label and workflow audit; practical planning</w:t>
            </w:r>
          </w:p>
        </w:tc>
        <w:tc>
          <w:tcPr>
            <w:tcW w:type="dxa" w:w="1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M4 S2–S3</w:t>
            </w:r>
          </w:p>
        </w:tc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Control pathway</w:t>
            </w:r>
          </w:p>
        </w:tc>
        <w:tc>
          <w:tcPr>
            <w:tcW w:type="dxa" w:w="2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Teacher confirms practical, labels and controls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8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Modified and fortified foods</w:t>
            </w:r>
          </w:p>
        </w:tc>
        <w:tc>
          <w:tcPr>
            <w:tcW w:type="dxa" w:w="22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Claim-versus-evidence product comparison</w:t>
            </w:r>
          </w:p>
        </w:tc>
        <w:tc>
          <w:tcPr>
            <w:tcW w:type="dxa" w:w="1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M5 S1</w:t>
            </w:r>
          </w:p>
        </w:tc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Product evaluation</w:t>
            </w:r>
          </w:p>
        </w:tc>
        <w:tc>
          <w:tcPr>
            <w:tcW w:type="dxa" w:w="2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Use current Australian labels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9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Fibre and support networks</w:t>
            </w:r>
          </w:p>
        </w:tc>
        <w:tc>
          <w:tcPr>
            <w:tcW w:type="dxa" w:w="22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Fibre pattern; support map</w:t>
            </w:r>
          </w:p>
        </w:tc>
        <w:tc>
          <w:tcPr>
            <w:tcW w:type="dxa" w:w="1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M5 S2–S3</w:t>
            </w:r>
          </w:p>
        </w:tc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Pattern improvement + network evaluation</w:t>
            </w:r>
          </w:p>
        </w:tc>
        <w:tc>
          <w:tcPr>
            <w:tcW w:type="dxa" w:w="2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Use population guidance only</w:t>
            </w:r>
          </w:p>
        </w:tc>
      </w:tr>
      <w:tr>
        <w:trPr>
          <w:cantSplit/>
        </w:trPr>
        <w:tc>
          <w:tcPr>
            <w:tcW w:type="dxa" w:w="5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10</w:t>
            </w:r>
          </w:p>
        </w:tc>
        <w:tc>
          <w:tcPr>
            <w:tcW w:type="dxa" w:w="13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Folio synthesis and practical evidence</w:t>
            </w:r>
          </w:p>
        </w:tc>
        <w:tc>
          <w:tcPr>
            <w:tcW w:type="dxa" w:w="22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Evaluate against criteria; improvement; backup/export</w:t>
            </w:r>
          </w:p>
        </w:tc>
        <w:tc>
          <w:tcPr>
            <w:tcW w:type="dxa" w:w="11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Folio and course review</w:t>
            </w:r>
          </w:p>
        </w:tc>
        <w:tc>
          <w:tcPr>
            <w:tcW w:type="dxa" w:w="1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Completed folio export</w:t>
            </w:r>
          </w:p>
        </w:tc>
        <w:tc>
          <w:tcPr>
            <w:tcW w:type="dxa" w:w="245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Current formal notification not yet added</w:t>
            </w:r>
          </w:p>
        </w:tc>
      </w:tr>
    </w:tbl>
    <w:p>
      <w:pPr>
        <w:pStyle w:val="Heading1"/>
      </w:pPr>
      <w:r>
        <w:t>5. Teaching and learning method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9"/>
          <w:sz w:val="22"/>
        </w:rPr>
        <w:t>Open each section with the named learning goal and purposeful diagram.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9"/>
          <w:sz w:val="22"/>
        </w:rPr>
        <w:t>Teach the source or authority boundary before students make a design decision.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9"/>
          <w:sz w:val="22"/>
        </w:rPr>
        <w:t>Use the ten-question check for immediate feedback, then move to the saved written response.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9"/>
          <w:sz w:val="22"/>
        </w:rPr>
        <w:t>Use the applied activity to turn knowledge into evidence; export or print at the end of the lesson.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9"/>
          <w:sz w:val="22"/>
        </w:rPr>
        <w:t>Revisit the folio across the unit rather than treating it as a final-week worksheet.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/>
          <w:b w:val="0"/>
          <w:i w:val="0"/>
          <w:color w:val="243229"/>
          <w:sz w:val="22"/>
        </w:rPr>
        <w:t>Use recipe documents only after current labels, individual plans, practical sequence and local controls are confirmed.</w:t>
      </w:r>
    </w:p>
    <w:p>
      <w:pPr>
        <w:pStyle w:val="Heading1"/>
      </w:pPr>
      <w:r>
        <w:t>6. Differentiation and adjustments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1800"/>
        <w:gridCol w:w="4700"/>
        <w:gridCol w:w="2860"/>
      </w:tblGrid>
      <w:tr>
        <w:trPr>
          <w:cantSplit/>
          <w:cantSplit/>
        </w:trPr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Need</w:t>
            </w:r>
          </w:p>
        </w:tc>
        <w:tc>
          <w:tcPr>
            <w:tcW w:type="dxa" w:w="4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Planned adjustment</w:t>
            </w:r>
          </w:p>
        </w:tc>
        <w:tc>
          <w:tcPr>
            <w:tcW w:type="dxa" w:w="28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Evidence preserved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Literacy and language</w:t>
            </w:r>
          </w:p>
        </w:tc>
        <w:tc>
          <w:tcPr>
            <w:tcW w:type="dxa" w:w="4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Chunk theory; pre-teach key terms; allow speech-to-text or teacher-approved oral conference.</w:t>
            </w:r>
          </w:p>
        </w:tc>
        <w:tc>
          <w:tcPr>
            <w:tcW w:type="dxa" w:w="28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Saved response or teacher record linked to the same criterion.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Executive function</w:t>
            </w:r>
          </w:p>
        </w:tc>
        <w:tc>
          <w:tcPr>
            <w:tcW w:type="dxa" w:w="4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Use one section and one evidence target at a time; provide the three-part activity structure.</w:t>
            </w:r>
          </w:p>
        </w:tc>
        <w:tc>
          <w:tcPr>
            <w:tcW w:type="dxa" w:w="28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Autosaved staged response and exported checkpoint.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Vision or access</w:t>
            </w:r>
          </w:p>
        </w:tc>
        <w:tc>
          <w:tcPr>
            <w:tcW w:type="dxa" w:w="4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Keyboard-readable navigation, strong contrast, scalable SVG diagrams and printable routes.</w:t>
            </w:r>
          </w:p>
        </w:tc>
        <w:tc>
          <w:tcPr>
            <w:tcW w:type="dxa" w:w="28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Same content in accessible browser or printed form.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Anxiety or medical privacy</w:t>
            </w:r>
          </w:p>
        </w:tc>
        <w:tc>
          <w:tcPr>
            <w:tcW w:type="dxa" w:w="4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Use fictional/supplied scenarios; do not require disclosure of personal diagnoses.</w:t>
            </w:r>
          </w:p>
        </w:tc>
        <w:tc>
          <w:tcPr>
            <w:tcW w:type="dxa" w:w="28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Design evidence without private health details.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Extension</w:t>
            </w:r>
          </w:p>
        </w:tc>
        <w:tc>
          <w:tcPr>
            <w:tcW w:type="dxa" w:w="47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Compare authorities, evaluate conflicting claims or develop more precise criteria.</w:t>
            </w:r>
          </w:p>
        </w:tc>
        <w:tc>
          <w:tcPr>
            <w:tcW w:type="dxa" w:w="28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Annotated source evaluation and refined design response.</w:t>
            </w:r>
          </w:p>
        </w:tc>
      </w:tr>
    </w:tbl>
    <w:p>
      <w:pPr>
        <w:pStyle w:val="Heading1"/>
      </w:pPr>
      <w:r>
        <w:t>7. Safety, health and cultural authority</w:t>
      </w:r>
    </w:p>
    <w:p>
      <w:r>
        <w:rPr>
          <w:rFonts w:ascii="Calibri" w:hAnsi="Calibri"/>
          <w:b w:val="0"/>
          <w:i w:val="0"/>
          <w:color w:val="243229"/>
          <w:sz w:val="22"/>
        </w:rPr>
        <w:t>The course is educational information only. Students do not diagnose, prescribe, recommend supplements, test allergens or override an individual plan. In a suspected severe allergic reaction, follow the person’s emergency plan and school procedures and call Triple Zero (000).</w:t>
      </w:r>
    </w:p>
    <w:p>
      <w:r>
        <w:rPr>
          <w:rFonts w:ascii="Calibri" w:hAnsi="Calibri"/>
          <w:b w:val="0"/>
          <w:i w:val="0"/>
          <w:color w:val="243229"/>
          <w:sz w:val="22"/>
        </w:rPr>
        <w:t>Recipes and theory do not certify suitability. The teacher confirms current labels, product formulations, workflow controls and approved equipment. A food that is ingredient-suitable may still be unsafe because of cross-contact or misidentification.</w:t>
      </w:r>
    </w:p>
    <w:p>
      <w:r>
        <w:rPr>
          <w:rFonts w:ascii="Calibri" w:hAnsi="Calibri"/>
          <w:b w:val="0"/>
          <w:i w:val="0"/>
          <w:color w:val="243229"/>
          <w:sz w:val="22"/>
        </w:rPr>
        <w:t>Cultural investigation must recognise diversity within communities and avoid stereotypes. Local Aboriginal Cultural Knowledge is not supplied by this resource and requires local authority and permission.</w:t>
      </w:r>
    </w:p>
    <w:p>
      <w:pPr>
        <w:pStyle w:val="Heading1"/>
      </w:pPr>
      <w:r>
        <w:t>8. Assessment and evidence boundary</w:t>
      </w:r>
    </w:p>
    <w:p>
      <w:r>
        <w:rPr>
          <w:rFonts w:ascii="Calibri" w:hAnsi="Calibri"/>
          <w:b w:val="0"/>
          <w:i w:val="0"/>
          <w:color w:val="243229"/>
          <w:sz w:val="22"/>
        </w:rPr>
        <w:t>The 2026 Year 9 handbook lists Food Technology class practicals (ongoing, 60%), an assignment (Term 1 Week 10, 20%) and a yearly examination (Term 4 Week 3, 20%). It does not identify a separate formal Food for Specific Needs task in Term 2.</w:t>
      </w:r>
    </w:p>
    <w:p>
      <w:r>
        <w:rPr>
          <w:rFonts w:ascii="Calibri" w:hAnsi="Calibri"/>
          <w:b w:val="0"/>
          <w:i w:val="0"/>
          <w:color w:val="243229"/>
          <w:sz w:val="22"/>
        </w:rPr>
        <w:t>The supplied 2024 Food for Specific Needs notification is retained as historical source evidence only. It must not be issued as the current notification. Current formal notification not yet added.</w:t>
      </w:r>
    </w:p>
    <w:p>
      <w:pPr>
        <w:pStyle w:val="Heading1"/>
      </w:pPr>
      <w:r>
        <w:t>9. Source register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000"/>
        <w:gridCol w:w="6360"/>
      </w:tblGrid>
      <w:tr>
        <w:trPr>
          <w:cantSplit/>
          <w:cantSplit/>
        </w:trPr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Source</w:t>
            </w:r>
          </w:p>
        </w:tc>
        <w:tc>
          <w:tcPr>
            <w:tcW w:type="dxa" w:w="6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Authority/use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NESA Food Technology 7–10 (2019)</w:t>
            </w:r>
          </w:p>
        </w:tc>
        <w:tc>
          <w:tcPr>
            <w:tcW w:type="dxa" w:w="6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Current syllabus to teach in 2026.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NESA Food Technology 7–10 (2025)</w:t>
            </w:r>
          </w:p>
        </w:tc>
        <w:tc>
          <w:tcPr>
            <w:tcW w:type="dxa" w:w="6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Planning source; implementation from 2028 unless early implementation is approved.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WWHS Year 9 Assessment Handbook 2026</w:t>
            </w:r>
          </w:p>
        </w:tc>
        <w:tc>
          <w:tcPr>
            <w:tcW w:type="dxa" w:w="6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Current assessment schedule and weighting boundary.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Student Workbook F4SN v7</w:t>
            </w:r>
          </w:p>
        </w:tc>
        <w:tc>
          <w:tcPr>
            <w:tcW w:type="dxa" w:w="6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Teacher-provided learning sequence and task prompts.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10-week unit program</w:t>
            </w:r>
          </w:p>
        </w:tc>
        <w:tc>
          <w:tcPr>
            <w:tcW w:type="dxa" w:w="6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Teacher program source; contains the Year 10 cohort conflict.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Nine teacher recipe documents</w:t>
            </w:r>
          </w:p>
        </w:tc>
        <w:tc>
          <w:tcPr>
            <w:tcW w:type="dxa" w:w="6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Practical source text; 2026 use remains Teacher to confirm.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Eat for Health / NRVs</w:t>
            </w:r>
          </w:p>
        </w:tc>
        <w:tc>
          <w:tcPr>
            <w:tcW w:type="dxa" w:w="6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Australian healthy-eating and fibre population guidance.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Healthdirect / Allergy &amp; Anaphylaxis Australia</w:t>
            </w:r>
          </w:p>
        </w:tc>
        <w:tc>
          <w:tcPr>
            <w:tcW w:type="dxa" w:w="6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Allergy, intolerance, emergency and label-reading boundaries.</w:t>
            </w:r>
          </w:p>
        </w:tc>
      </w:tr>
      <w:tr>
        <w:trPr>
          <w:cantSplit/>
        </w:trPr>
        <w:tc>
          <w:tcPr>
            <w:tcW w:type="dxa" w:w="30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FSANZ</w:t>
            </w:r>
          </w:p>
        </w:tc>
        <w:tc>
          <w:tcPr>
            <w:tcW w:type="dxa" w:w="63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Food claims, labelling and fortification information.</w:t>
            </w:r>
          </w:p>
        </w:tc>
      </w:tr>
    </w:tbl>
    <w:p>
      <w:r>
        <w:br w:type="page"/>
      </w:r>
    </w:p>
    <w:p>
      <w:pPr>
        <w:pStyle w:val="Heading1"/>
      </w:pPr>
      <w:r>
        <w:t>10. Review and sign-off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</w:tblPr>
      <w:tblGrid>
        <w:gridCol w:w="3400"/>
        <w:gridCol w:w="5960"/>
      </w:tblGrid>
      <w:tr>
        <w:trPr>
          <w:cantSplit/>
          <w:cantSplit/>
        </w:trPr>
        <w:tc>
          <w:tcPr>
            <w:tcW w:type="dxa" w:w="34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Gate</w:t>
            </w:r>
          </w:p>
        </w:tc>
        <w:tc>
          <w:tcPr>
            <w:tcW w:type="dxa" w:w="59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  <w:shd w:fill="E8F0E9"/>
          </w:tcPr>
          <w:p>
            <w:r>
              <w:rPr>
                <w:rFonts w:ascii="Calibri" w:hAnsi="Calibri"/>
                <w:b/>
                <w:i w:val="0"/>
                <w:color w:val="2F6B4F"/>
                <w:sz w:val="19"/>
              </w:rPr>
              <w:t>Status / signature</w:t>
            </w:r>
          </w:p>
        </w:tc>
      </w:tr>
      <w:tr>
        <w:trPr>
          <w:cantSplit/>
        </w:trPr>
        <w:tc>
          <w:tcPr>
            <w:tcW w:type="dxa" w:w="34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Cohort and syllabus decision</w:t>
            </w:r>
          </w:p>
        </w:tc>
        <w:tc>
          <w:tcPr>
            <w:tcW w:type="dxa" w:w="59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Teacher to confirm: ______________________________</w:t>
            </w:r>
          </w:p>
        </w:tc>
      </w:tr>
      <w:tr>
        <w:trPr>
          <w:cantSplit/>
        </w:trPr>
        <w:tc>
          <w:tcPr>
            <w:tcW w:type="dxa" w:w="34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Practical and allergy controls</w:t>
            </w:r>
          </w:p>
        </w:tc>
        <w:tc>
          <w:tcPr>
            <w:tcW w:type="dxa" w:w="59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Teacher to confirm: ______________________________</w:t>
            </w:r>
          </w:p>
        </w:tc>
      </w:tr>
      <w:tr>
        <w:trPr>
          <w:cantSplit/>
        </w:trPr>
        <w:tc>
          <w:tcPr>
            <w:tcW w:type="dxa" w:w="34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Current assessment notification</w:t>
            </w:r>
          </w:p>
        </w:tc>
        <w:tc>
          <w:tcPr>
            <w:tcW w:type="dxa" w:w="59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Not yet added / confirmed: _______________________</w:t>
            </w:r>
          </w:p>
        </w:tc>
      </w:tr>
      <w:tr>
        <w:trPr>
          <w:cantSplit/>
        </w:trPr>
        <w:tc>
          <w:tcPr>
            <w:tcW w:type="dxa" w:w="34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Local content authority</w:t>
            </w:r>
          </w:p>
        </w:tc>
        <w:tc>
          <w:tcPr>
            <w:tcW w:type="dxa" w:w="59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Teacher to confirm: ______________________________</w:t>
            </w:r>
          </w:p>
        </w:tc>
      </w:tr>
      <w:tr>
        <w:trPr>
          <w:cantSplit/>
        </w:trPr>
        <w:tc>
          <w:tcPr>
            <w:tcW w:type="dxa" w:w="340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Program approved for use</w:t>
            </w:r>
          </w:p>
        </w:tc>
        <w:tc>
          <w:tcPr>
            <w:tcW w:type="dxa" w:w="5960"/>
            <w:vAlign w:val="top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243229"/>
                <w:sz w:val="18"/>
              </w:rPr>
              <w:t>Name/date: ______________________________________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47068"/>
        <w:sz w:val="17"/>
      </w:rPr>
      <w:t xml:space="preserve">Wagga Wagga High School · Food for Specific Needs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47068"/>
        <w:sz w:val="18"/>
      </w:rPr>
      <w:t>Teacher Program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432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F6B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F6B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2432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