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gramTitle"/>
      </w:pPr>
      <w:r>
        <w:t>Year 8 Food Technology - Delivery Register</w:t>
      </w:r>
    </w:p>
    <w:p>
      <w:pPr>
        <w:pStyle w:val="ProgramSubtitle"/>
      </w:pPr>
      <w:r>
        <w:t>Packages 01-10 | Version 1.0.0 | Actual fields deliberately blank before teaching</w:t>
      </w:r>
    </w:p>
    <w:p>
      <w:pPr>
        <w:spacing w:before="80" w:after="120"/>
        <w:shd w:fill="F4F6F9"/>
        <w:pBdr>
          <w:left w:val="single" w:sz="18" w:color="2E74B5" w:space="8"/>
        </w:pBdr>
      </w:pPr>
      <w:r>
        <w:rPr>
          <w:b/>
          <w:color w:val="1F3A5F"/>
        </w:rPr>
        <w:t xml:space="preserve">Planning boundary. </w:t>
      </w:r>
      <w:r>
        <w:rPr>
          <w:color w:val="000000"/>
        </w:rPr>
        <w:t>The 40 packages organise the source-defined 20-week candidate. Enter the actual date, initials, completion/variance, evidence checked, adjustments and follow-up during delivery. Confirm the real timetable and practical calendar before use.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600"/>
        <w:gridCol w:w="1250"/>
        <w:gridCol w:w="1500"/>
        <w:gridCol w:w="4090"/>
        <w:gridCol w:w="1050"/>
        <w:gridCol w:w="750"/>
        <w:gridCol w:w="2200"/>
        <w:gridCol w:w="1600"/>
        <w:gridCol w:w="1250"/>
        <w:gridCol w:w="1252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15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409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Planned focus / site</w:t>
            </w:r>
          </w:p>
        </w:tc>
        <w:tc>
          <w:tcPr>
            <w:tcW w:type="dxa" w:w="10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Actual date</w:t>
            </w:r>
          </w:p>
        </w:tc>
        <w:tc>
          <w:tcPr>
            <w:tcW w:type="dxa" w:w="7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Initials</w:t>
            </w:r>
          </w:p>
        </w:tc>
        <w:tc>
          <w:tcPr>
            <w:tcW w:type="dxa" w:w="22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Completion / variance</w:t>
            </w:r>
          </w:p>
        </w:tc>
        <w:tc>
          <w:tcPr>
            <w:tcW w:type="dxa" w:w="1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Evidence checked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Adjustments</w:t>
            </w:r>
          </w:p>
        </w:tc>
        <w:tc>
          <w:tcPr>
            <w:tcW w:type="dxa" w:w="125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Follow-up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1–2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Personal hygiene and handwashing</w:t>
              <w:br/>
              <w:t>site-theory-m01-s01, site-folio-stage-05-safe-readiness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1–2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Kitchen hazards and safe routines</w:t>
              <w:br/>
              <w:t>site-theory-m01-s02, site-folio-stage-05-safe-readiness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1–2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Washing up, cleaning and sanitising</w:t>
              <w:br/>
              <w:t>site-theory-m01-s03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1–2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Pikelets</w:t>
              <w:br/>
              <w:t>site-theory-m01-s01, site-theory-m01-s02, site-theory-m01-s03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2–4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Reading recipes and cooking terms</w:t>
              <w:br/>
              <w:t>site-theory-m02-s01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2–4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Selecting equipment and techniques</w:t>
              <w:br/>
              <w:t>site-theory-m02-s02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2–4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Measuring, converting and scaling</w:t>
              <w:br/>
              <w:t>site-theory-m02-s03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2–4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Mini beef sliders</w:t>
              <w:br/>
              <w:t>site-theory-m02-s01, site-theory-m02-s02, site-theory-m02-s03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3–5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Cross-contamination pathways</w:t>
              <w:br/>
              <w:t>site-theory-m03-s01, site-folio-stage-05-safe-readiness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3–5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Temperature control and storage</w:t>
              <w:br/>
              <w:t>site-theory-m03-s02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  <w:pageBreakBefore/>
      </w:pPr>
      <w:r>
        <w:t>Delivery register - packages 11 to 20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600"/>
        <w:gridCol w:w="1250"/>
        <w:gridCol w:w="1500"/>
        <w:gridCol w:w="4090"/>
        <w:gridCol w:w="1050"/>
        <w:gridCol w:w="750"/>
        <w:gridCol w:w="2200"/>
        <w:gridCol w:w="1600"/>
        <w:gridCol w:w="1250"/>
        <w:gridCol w:w="1252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15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409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Planned focus / site</w:t>
            </w:r>
          </w:p>
        </w:tc>
        <w:tc>
          <w:tcPr>
            <w:tcW w:type="dxa" w:w="10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Actual date</w:t>
            </w:r>
          </w:p>
        </w:tc>
        <w:tc>
          <w:tcPr>
            <w:tcW w:type="dxa" w:w="7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Initials</w:t>
            </w:r>
          </w:p>
        </w:tc>
        <w:tc>
          <w:tcPr>
            <w:tcW w:type="dxa" w:w="22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Completion / variance</w:t>
            </w:r>
          </w:p>
        </w:tc>
        <w:tc>
          <w:tcPr>
            <w:tcW w:type="dxa" w:w="1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Evidence checked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Adjustments</w:t>
            </w:r>
          </w:p>
        </w:tc>
        <w:tc>
          <w:tcPr>
            <w:tcW w:type="dxa" w:w="125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Follow-up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3–5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Allergens and safe food choices</w:t>
              <w:br/>
              <w:t>site-theory-m03-s03, site-folio-stage-05-safe-readiness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3–5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Chocolate raspberry muffins</w:t>
              <w:br/>
              <w:t>site-theory-m03-s01, site-theory-m03-s02, site-theory-m03-s03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4–7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Six essential nutrients</w:t>
              <w:br/>
              <w:t>site-theory-m04-s01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4–7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Food groups and balanced choices</w:t>
              <w:br/>
              <w:t>site-theory-m04-s02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4–7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Added sugar and informed media choices</w:t>
              <w:br/>
              <w:t>site-theory-m04-s03, site-folio-stage-03-research-ideas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4–7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Calzone</w:t>
              <w:br/>
              <w:t>site-theory-m04-s01, site-theory-m04-s02, site-theory-m04-s03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7–8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Reasons for cooking</w:t>
              <w:br/>
              <w:t>site-theory-m05-s01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7–8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Denaturation, dextrinisation and emulsification</w:t>
              <w:br/>
              <w:t>site-theory-m05-s02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7–8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Fair ingredient tests and observations</w:t>
              <w:br/>
              <w:t>site-theory-m05-s03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Weeks 7–8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Jam drops</w:t>
              <w:br/>
              <w:t>site-theory-m05-s01, site-theory-m05-s02, site-theory-m05-s03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  <w:pageBreakBefore/>
      </w:pPr>
      <w:r>
        <w:t>Delivery register - packages 21 to 30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600"/>
        <w:gridCol w:w="1250"/>
        <w:gridCol w:w="1500"/>
        <w:gridCol w:w="4090"/>
        <w:gridCol w:w="1050"/>
        <w:gridCol w:w="750"/>
        <w:gridCol w:w="2200"/>
        <w:gridCol w:w="1600"/>
        <w:gridCol w:w="1250"/>
        <w:gridCol w:w="1252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15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409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Planned focus / site</w:t>
            </w:r>
          </w:p>
        </w:tc>
        <w:tc>
          <w:tcPr>
            <w:tcW w:type="dxa" w:w="10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Actual date</w:t>
            </w:r>
          </w:p>
        </w:tc>
        <w:tc>
          <w:tcPr>
            <w:tcW w:type="dxa" w:w="7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Initials</w:t>
            </w:r>
          </w:p>
        </w:tc>
        <w:tc>
          <w:tcPr>
            <w:tcW w:type="dxa" w:w="22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Completion / variance</w:t>
            </w:r>
          </w:p>
        </w:tc>
        <w:tc>
          <w:tcPr>
            <w:tcW w:type="dxa" w:w="1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Evidence checked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Adjustments</w:t>
            </w:r>
          </w:p>
        </w:tc>
        <w:tc>
          <w:tcPr>
            <w:tcW w:type="dxa" w:w="125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Follow-up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 9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The five senses</w:t>
              <w:br/>
              <w:t>site-theory-m06-s01, site-folio-stage-07-testing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 9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Precise sensory language and fair comparisons</w:t>
              <w:br/>
              <w:t>site-theory-m06-s02, site-folio-stage-07-testing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 9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Using evidence to improve food</w:t>
              <w:br/>
              <w:t>site-theory-m06-s03, site-folio-stage-07-testing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 9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Braided apple strudel</w:t>
              <w:br/>
              <w:t>site-theory-m06-s01, site-theory-m06-s02, site-theory-m06-s03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 10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Farm-to-plate systems</w:t>
              <w:br/>
              <w:t>site-theory-m07-s01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 10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Australian food and fibre production</w:t>
              <w:br/>
              <w:t>site-theory-m07-s02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 10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Waste, food security and sustainable choices</w:t>
              <w:br/>
              <w:t>site-theory-m07-s03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Week 10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Two-ingredient pizza dough</w:t>
              <w:br/>
              <w:t>site-theory-m07-s01, site-theory-m07-s02, site-theory-m07-s03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1–3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User needs and constraints</w:t>
              <w:br/>
              <w:t>site-theory-m08-s01, site-folio-stage-01-brief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1–3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Menu balance and costing</w:t>
              <w:br/>
              <w:t>site-theory-m08-s02, site-folio-stage-03-research-ideas, site-folio-stage-04-chosen-plan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  <w:pageBreakBefore/>
      </w:pPr>
      <w:r>
        <w:t>Delivery register - packages 31 to 40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600"/>
        <w:gridCol w:w="1250"/>
        <w:gridCol w:w="1500"/>
        <w:gridCol w:w="4090"/>
        <w:gridCol w:w="1050"/>
        <w:gridCol w:w="750"/>
        <w:gridCol w:w="2200"/>
        <w:gridCol w:w="1600"/>
        <w:gridCol w:w="1250"/>
        <w:gridCol w:w="1252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15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409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Planned focus / site</w:t>
            </w:r>
          </w:p>
        </w:tc>
        <w:tc>
          <w:tcPr>
            <w:tcW w:type="dxa" w:w="10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Actual date</w:t>
            </w:r>
          </w:p>
        </w:tc>
        <w:tc>
          <w:tcPr>
            <w:tcW w:type="dxa" w:w="7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Initials</w:t>
            </w:r>
          </w:p>
        </w:tc>
        <w:tc>
          <w:tcPr>
            <w:tcW w:type="dxa" w:w="22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Completion / variance</w:t>
            </w:r>
          </w:p>
        </w:tc>
        <w:tc>
          <w:tcPr>
            <w:tcW w:type="dxa" w:w="1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Evidence checked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Adjustments</w:t>
            </w:r>
          </w:p>
        </w:tc>
        <w:tc>
          <w:tcPr>
            <w:tcW w:type="dxa" w:w="125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Follow-up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1–3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Ideas, criteria and responsible choices</w:t>
              <w:br/>
              <w:t>site-theory-m08-s03, site-folio-stage-02-criteria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1–3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Honey-soy chicken wraps</w:t>
              <w:br/>
              <w:t>site-theory-m08-s01, site-theory-m08-s02, site-theory-m08-s03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3–5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Recipe and equipment selection</w:t>
              <w:br/>
              <w:t>site-theory-m09-s01, site-folio-stage-04-chosen-plan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3–5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Workflow and collaboration</w:t>
              <w:br/>
              <w:t>site-theory-m09-s02, site-folio-stage-06-production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3–5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Party Task rehearsal or teacher-selected party recipe</w:t>
              <w:br/>
              <w:t>site-theory-m09-s01, site-theory-m09-s02, site-theory-m09-s03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3–5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Presentation, styling and photography</w:t>
              <w:br/>
              <w:t>site-theory-m09-s03, site-folio-stage-06-production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5–6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Candidate supervised practical - Party Task production using the reissued task conditions</w:t>
              <w:br/>
              <w:t>site-theory-m10-s01, site-theory-m10-s02, site-theory-m10-s03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5–6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Testing against criteria</w:t>
              <w:br/>
              <w:t>site-theory-m10-s01, site-folio-stage-02-criteria, site-folio-stage-07-testing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5–6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Evidence, sources and bibliography</w:t>
              <w:br/>
              <w:t>site-theory-m10-s02, site-folio-stage-08-evaluation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Term 2 · Weeks 5–6</w:t>
            </w:r>
          </w:p>
        </w:tc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409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  <w:t>Reflection, improvement and communication</w:t>
              <w:br/>
              <w:t>site-theory-m10-s03, site-folio-stage-08-evaluation</w:t>
            </w:r>
          </w:p>
        </w:tc>
        <w:tc>
          <w:tcPr>
            <w:tcW w:type="dxa" w:w="10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7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22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6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DeliveryRegisterText"/>
              <w:jc w:val="left"/>
            </w:pPr>
            <w:r/>
            <w:r>
              <w:rPr>
                <w:b w:val="0"/>
              </w:rPr>
            </w:r>
          </w:p>
        </w:tc>
      </w:tr>
    </w:tbl>
    <w:sectPr>
      <w:headerReference w:type="default" r:id="rId9"/>
      <w:footerReference w:type="default" r:id="rId10"/>
      <w:pgSz w:w="16838" w:h="11906" w:orient="landscape"/>
      <w:pgMar w:top="648" w:right="648" w:bottom="648" w:left="64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FooterText"/>
      <w:jc w:val="right"/>
    </w:pPr>
    <w:r>
      <w:t xml:space="preserve">School-developed, NESA-aligned | Course candidate; formal use TBC |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FooterText"/>
      <w:jc w:val="left"/>
    </w:pPr>
    <w:r>
      <w:t>YEAR 8 FOOD TECHNOLOGY | DELIVERY REGISTER |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60" w:line="240" w:lineRule="auto"/>
    </w:pPr>
    <w:rPr>
      <w:rFonts w:ascii="Calibri" w:hAnsi="Calibri" w:eastAsia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0"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ramTitle">
    <w:name w:val="Program Title"/>
    <w:pPr>
      <w:keepNext/>
      <w:spacing w:before="0" w:after="80"/>
    </w:pPr>
    <w:rPr>
      <w:rFonts w:ascii="Calibri" w:hAnsi="Calibri" w:eastAsia="Calibri"/>
      <w:b/>
      <w:color w:val="1F4D78"/>
      <w:sz w:val="36"/>
    </w:rPr>
  </w:style>
  <w:style w:type="paragraph" w:customStyle="1" w:styleId="ProgramSubtitle">
    <w:name w:val="Program Subtitle"/>
    <w:pPr>
      <w:keepNext/>
      <w:spacing w:before="0" w:after="120"/>
    </w:pPr>
    <w:rPr>
      <w:rFonts w:ascii="Calibri" w:hAnsi="Calibri" w:eastAsia="Calibri"/>
      <w:b w:val="0"/>
      <w:color w:val="4D5B66"/>
      <w:sz w:val="20"/>
    </w:rPr>
  </w:style>
  <w:style w:type="paragraph" w:customStyle="1" w:styleId="ControlTableText">
    <w:name w:val="Control Table Text"/>
    <w:pPr>
      <w:spacing w:before="0" w:after="0" w:line="240" w:lineRule="auto"/>
    </w:pPr>
    <w:rPr>
      <w:rFonts w:ascii="Calibri" w:hAnsi="Calibri" w:eastAsia="Calibri"/>
      <w:b w:val="0"/>
      <w:color w:val="000000"/>
      <w:sz w:val="16"/>
    </w:rPr>
  </w:style>
  <w:style w:type="paragraph" w:customStyle="1" w:styleId="TeachingTableText">
    <w:name w:val="Teaching Table Text"/>
    <w:pPr>
      <w:spacing w:before="0" w:after="0" w:line="240" w:lineRule="auto"/>
    </w:pPr>
    <w:rPr>
      <w:rFonts w:ascii="Calibri" w:hAnsi="Calibri" w:eastAsia="Calibri"/>
      <w:b w:val="0"/>
      <w:color w:val="000000"/>
      <w:sz w:val="20"/>
    </w:rPr>
  </w:style>
  <w:style w:type="paragraph" w:customStyle="1" w:styleId="DeliveryRegisterText">
    <w:name w:val="Delivery Register Text"/>
    <w:pPr>
      <w:spacing w:before="0" w:after="0" w:line="240" w:lineRule="auto"/>
    </w:pPr>
    <w:rPr>
      <w:rFonts w:ascii="Calibri" w:hAnsi="Calibri" w:eastAsia="Calibri"/>
      <w:b w:val="0"/>
      <w:color w:val="000000"/>
      <w:sz w:val="18"/>
    </w:rPr>
  </w:style>
  <w:style w:type="paragraph" w:customStyle="1" w:styleId="TableHeaderText">
    <w:name w:val="Table Header Text"/>
    <w:pPr>
      <w:spacing w:before="0" w:after="0" w:line="240" w:lineRule="auto"/>
    </w:pPr>
    <w:rPr>
      <w:rFonts w:ascii="Calibri" w:hAnsi="Calibri" w:eastAsia="Calibri"/>
      <w:b/>
      <w:color w:val="000000"/>
      <w:sz w:val="18"/>
    </w:rPr>
  </w:style>
  <w:style w:type="paragraph" w:customStyle="1" w:styleId="SourceCitationText">
    <w:name w:val="Source Citation Text"/>
    <w:pPr>
      <w:spacing w:before="80" w:after="80" w:line="240" w:lineRule="auto"/>
    </w:pPr>
    <w:rPr>
      <w:rFonts w:ascii="Calibri" w:hAnsi="Calibri" w:eastAsia="Calibri"/>
      <w:b w:val="0"/>
      <w:color w:val="000000"/>
      <w:sz w:val="17"/>
    </w:rPr>
  </w:style>
  <w:style w:type="paragraph" w:customStyle="1" w:styleId="HeaderFooterText">
    <w:name w:val="Header Footer Text"/>
    <w:pPr>
      <w:spacing w:before="0" w:after="0" w:line="240" w:lineRule="auto"/>
    </w:pPr>
    <w:rPr>
      <w:rFonts w:ascii="Calibri" w:hAnsi="Calibri" w:eastAsia="Calibri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Food Technology Delivery Register</dc:title>
  <dc:subject>Planned and actual course delivery record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