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72728403" w14:textId="77777777" w:rsidR="00AD6C93"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61B9F84F" w14:textId="77777777" w:rsidR="00AD6C93" w:rsidRDefault="00AD6C93" w:rsidP="00B34BB6">
      <w:pPr>
        <w:rPr>
          <w:rFonts w:ascii="Arial" w:hAnsi="Arial" w:cs="Arial"/>
          <w:i/>
          <w:iCs/>
        </w:rPr>
      </w:pPr>
    </w:p>
    <w:p w14:paraId="5BD4FD26" w14:textId="2D85DA19" w:rsidR="00F53F0C" w:rsidRPr="00F53F0C" w:rsidRDefault="0005467C" w:rsidP="00F53F0C">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w:t>
      </w:r>
      <w:proofErr w:type="spellStart"/>
      <w:r w:rsidR="00F53F0C" w:rsidRPr="00F53F0C">
        <w:rPr>
          <w:rFonts w:ascii="Arial" w:hAnsi="Arial" w:cs="Arial"/>
          <w:i/>
          <w:iCs/>
        </w:rPr>
        <w:t>Ansys</w:t>
      </w:r>
      <w:proofErr w:type="spellEnd"/>
      <w:r w:rsidR="00F53F0C" w:rsidRPr="00F53F0C">
        <w:rPr>
          <w:rFonts w:ascii="Arial" w:hAnsi="Arial" w:cs="Arial"/>
          <w:i/>
          <w:iCs/>
        </w:rPr>
        <w:t xml:space="preserve"> HFSS microwave simulation. </w:t>
      </w:r>
      <w:r w:rsidR="00225EC9">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sidR="00225EC9">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lastRenderedPageBreak/>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 xml:space="preserve">Thanks for pointing this out to us. We have added the vacuum permittivity in Heaviside-Lorentz units in Eq. 3 and also cited the axion review paper by P. </w:t>
      </w:r>
      <w:proofErr w:type="spellStart"/>
      <w:r w:rsidRPr="009C7072">
        <w:rPr>
          <w:rFonts w:ascii="Arial" w:hAnsi="Arial" w:cs="Arial"/>
          <w:color w:val="0000FF"/>
        </w:rPr>
        <w:t>Sikivie</w:t>
      </w:r>
      <w:proofErr w:type="spellEnd"/>
      <w:r w:rsidRPr="009C7072">
        <w:rPr>
          <w:rFonts w:ascii="Arial" w:hAnsi="Arial" w:cs="Arial"/>
          <w:color w:val="0000FF"/>
        </w:rPr>
        <w:t>.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 xml:space="preserve">48] P. </w:t>
      </w:r>
      <w:proofErr w:type="spellStart"/>
      <w:r w:rsidRPr="002B331B">
        <w:rPr>
          <w:rFonts w:ascii="Arial" w:hAnsi="Arial" w:cs="Arial"/>
          <w:b/>
          <w:color w:val="008000"/>
          <w:sz w:val="20"/>
          <w:szCs w:val="20"/>
        </w:rPr>
        <w:t>Sikivie</w:t>
      </w:r>
      <w:proofErr w:type="spellEnd"/>
      <w:r w:rsidRPr="002B331B">
        <w:rPr>
          <w:rFonts w:ascii="Arial" w:hAnsi="Arial" w:cs="Arial"/>
          <w:b/>
          <w:color w:val="008000"/>
          <w:sz w:val="20"/>
          <w:szCs w:val="20"/>
        </w:rPr>
        <w:t>,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w:t>
      </w:r>
      <w:proofErr w:type="spellStart"/>
      <w:r w:rsidRPr="00871A9A">
        <w:rPr>
          <w:rFonts w:ascii="Arial" w:hAnsi="Arial" w:cs="Arial"/>
        </w:rPr>
        <w:t>T_sys</w:t>
      </w:r>
      <w:proofErr w:type="spellEnd"/>
      <w:r w:rsidRPr="00871A9A">
        <w:rPr>
          <w:rFonts w:ascii="Arial" w:hAnsi="Arial" w:cs="Arial"/>
        </w:rPr>
        <w:t xml:space="preserve"> of 2.0-2.3 K it would be useful to make clear at this point in the  paper that the noise is dominated by the first stage HFET amplifier. Perhaps add “... </w:t>
      </w:r>
      <w:proofErr w:type="spellStart"/>
      <w:r w:rsidRPr="00871A9A">
        <w:rPr>
          <w:rFonts w:ascii="Arial" w:hAnsi="Arial" w:cs="Arial"/>
        </w:rPr>
        <w:t>T_sys</w:t>
      </w:r>
      <w:proofErr w:type="spellEnd"/>
      <w:r w:rsidRPr="00871A9A">
        <w:rPr>
          <w:rFonts w:ascii="Arial" w:hAnsi="Arial" w:cs="Arial"/>
        </w:rPr>
        <w:t xml:space="preserve">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w:t>
      </w:r>
      <w:proofErr w:type="spellStart"/>
      <w:r w:rsidRPr="00926A82">
        <w:rPr>
          <w:rFonts w:ascii="Arial" w:hAnsi="Arial" w:cs="Arial"/>
          <w:color w:val="008000"/>
          <w:sz w:val="20"/>
          <w:szCs w:val="20"/>
        </w:rPr>
        <w:t>Tsys</w:t>
      </w:r>
      <w:proofErr w:type="spellEnd"/>
      <w:r w:rsidRPr="00926A82">
        <w:rPr>
          <w:rFonts w:ascii="Arial" w:hAnsi="Arial" w:cs="Arial"/>
          <w:color w:val="008000"/>
          <w:sz w:val="20"/>
          <w:szCs w:val="20"/>
        </w:rPr>
        <w:t xml:space="preserve">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w:t>
      </w:r>
      <w:proofErr w:type="spellStart"/>
      <w:r w:rsidRPr="00926A82">
        <w:rPr>
          <w:rFonts w:ascii="Arial" w:hAnsi="Arial" w:cs="Arial"/>
          <w:b/>
          <w:color w:val="008000"/>
          <w:sz w:val="20"/>
          <w:szCs w:val="20"/>
        </w:rPr>
        <w:t>Tsys</w:t>
      </w:r>
      <w:proofErr w:type="spellEnd"/>
      <w:r w:rsidRPr="00926A82">
        <w:rPr>
          <w:rFonts w:ascii="Arial" w:hAnsi="Arial" w:cs="Arial"/>
          <w:b/>
          <w:color w:val="008000"/>
          <w:sz w:val="20"/>
          <w:szCs w:val="20"/>
        </w:rPr>
        <w:t xml:space="preserve">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60123A92"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(Reference 52</w:t>
      </w:r>
      <w:r w:rsidR="00CF70B6">
        <w:rPr>
          <w:rFonts w:ascii="Arial" w:hAnsi="Arial" w:cs="Arial"/>
          <w:color w:val="0000FF"/>
        </w:rPr>
        <w:t xml:space="preserve"> in the first manuscript</w:t>
      </w:r>
      <w:r>
        <w:rPr>
          <w:rFonts w:ascii="Arial" w:hAnsi="Arial" w:cs="Arial"/>
          <w:color w:val="0000FF"/>
        </w:rPr>
        <w:t>):</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w:t>
      </w:r>
      <w:proofErr w:type="spellStart"/>
      <w:r w:rsidRPr="00E0207B">
        <w:rPr>
          <w:rFonts w:ascii="Arial" w:hAnsi="Arial" w:cs="Arial"/>
          <w:b/>
          <w:color w:val="008000"/>
          <w:sz w:val="20"/>
          <w:szCs w:val="20"/>
        </w:rPr>
        <w:t>Chien</w:t>
      </w:r>
      <w:proofErr w:type="spellEnd"/>
      <w:r w:rsidRPr="00E0207B">
        <w:rPr>
          <w:rFonts w:ascii="Arial" w:hAnsi="Arial" w:cs="Arial"/>
          <w:b/>
          <w:color w:val="008000"/>
          <w:sz w:val="20"/>
          <w:szCs w:val="20"/>
        </w:rPr>
        <w:t xml:space="preserve">, H. T. Doan, W.-C. Hung, W. </w:t>
      </w:r>
      <w:proofErr w:type="spellStart"/>
      <w:r w:rsidRPr="00E0207B">
        <w:rPr>
          <w:rFonts w:ascii="Arial" w:hAnsi="Arial" w:cs="Arial"/>
          <w:b/>
          <w:color w:val="008000"/>
          <w:sz w:val="20"/>
          <w:szCs w:val="20"/>
        </w:rPr>
        <w:t>Kuo</w:t>
      </w:r>
      <w:proofErr w:type="spellEnd"/>
      <w:r w:rsidRPr="00E0207B">
        <w:rPr>
          <w:rFonts w:ascii="Arial" w:hAnsi="Arial" w:cs="Arial"/>
          <w:b/>
          <w:color w:val="008000"/>
          <w:sz w:val="20"/>
          <w:szCs w:val="20"/>
        </w:rPr>
        <w:t xml:space="preserve">, S.-B. Lai, H.-W. Liu, M.-W. </w:t>
      </w:r>
      <w:proofErr w:type="spellStart"/>
      <w:r w:rsidRPr="00E0207B">
        <w:rPr>
          <w:rFonts w:ascii="Arial" w:hAnsi="Arial" w:cs="Arial"/>
          <w:b/>
          <w:color w:val="008000"/>
          <w:sz w:val="20"/>
          <w:szCs w:val="20"/>
        </w:rPr>
        <w:t>OuYang</w:t>
      </w:r>
      <w:proofErr w:type="spellEnd"/>
      <w:r w:rsidRPr="00E0207B">
        <w:rPr>
          <w:rFonts w:ascii="Arial" w:hAnsi="Arial" w:cs="Arial"/>
          <w:b/>
          <w:color w:val="008000"/>
          <w:sz w:val="20"/>
          <w:szCs w:val="20"/>
        </w:rPr>
        <w:t xml:space="preserve">, P.-I. Wu, and S.-S. Yu (TASEH </w:t>
      </w:r>
      <w:proofErr w:type="spellStart"/>
      <w:r w:rsidRPr="00E0207B">
        <w:rPr>
          <w:rFonts w:ascii="Arial" w:hAnsi="Arial" w:cs="Arial"/>
          <w:b/>
          <w:color w:val="008000"/>
          <w:sz w:val="20"/>
          <w:szCs w:val="20"/>
        </w:rPr>
        <w:t>Collabora</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tion</w:t>
      </w:r>
      <w:proofErr w:type="spellEnd"/>
      <w:r w:rsidRPr="00E0207B">
        <w:rPr>
          <w:rFonts w:ascii="Arial" w:hAnsi="Arial" w:cs="Arial"/>
          <w:b/>
          <w:color w:val="008000"/>
          <w:sz w:val="20"/>
          <w:szCs w:val="20"/>
        </w:rPr>
        <w:t xml:space="preserve">), (2022), accepted by Review of Scientific </w:t>
      </w:r>
      <w:proofErr w:type="spellStart"/>
      <w:r w:rsidRPr="00E0207B">
        <w:rPr>
          <w:rFonts w:ascii="Arial" w:hAnsi="Arial" w:cs="Arial"/>
          <w:b/>
          <w:color w:val="008000"/>
          <w:sz w:val="20"/>
          <w:szCs w:val="20"/>
        </w:rPr>
        <w:t>Instru</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ments</w:t>
      </w:r>
      <w:proofErr w:type="spellEnd"/>
      <w:r w:rsidRPr="00E0207B">
        <w:rPr>
          <w:rFonts w:ascii="Arial" w:hAnsi="Arial" w:cs="Arial"/>
          <w:b/>
          <w:color w:val="008000"/>
          <w:sz w:val="20"/>
          <w:szCs w:val="20"/>
        </w:rPr>
        <w:t>, arXiv:2205.01477 [</w:t>
      </w:r>
      <w:proofErr w:type="spellStart"/>
      <w:r w:rsidRPr="00E0207B">
        <w:rPr>
          <w:rFonts w:ascii="Arial" w:hAnsi="Arial" w:cs="Arial"/>
          <w:b/>
          <w:color w:val="008000"/>
          <w:sz w:val="20"/>
          <w:szCs w:val="20"/>
        </w:rPr>
        <w:t>physics.ins-det</w:t>
      </w:r>
      <w:proofErr w:type="spellEnd"/>
      <w:r w:rsidRPr="00E0207B">
        <w:rPr>
          <w:rFonts w:ascii="Arial" w:hAnsi="Arial" w:cs="Arial"/>
          <w:b/>
          <w:color w:val="008000"/>
          <w:sz w:val="20"/>
          <w:szCs w:val="20"/>
        </w:rPr>
        <w:t xml:space="preserve">].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66F1DB08" w:rsidR="00634E9F" w:rsidRDefault="00211B36" w:rsidP="00CD6812">
      <w:pPr>
        <w:ind w:left="720"/>
        <w:rPr>
          <w:rFonts w:ascii="Arial" w:hAnsi="Arial" w:cs="Arial"/>
          <w:color w:val="0000FF"/>
        </w:rPr>
      </w:pPr>
      <w:r>
        <w:rPr>
          <w:rFonts w:ascii="Arial" w:hAnsi="Arial" w:cs="Arial"/>
          <w:color w:val="0000FF"/>
        </w:rPr>
        <w:t>We have modified our text to clarify what happened.</w:t>
      </w:r>
      <w:r w:rsidR="003F18D1">
        <w:rPr>
          <w:rFonts w:ascii="Arial" w:hAnsi="Arial" w:cs="Arial"/>
          <w:color w:val="0000FF"/>
        </w:rPr>
        <w:t xml:space="preserve"> The original text</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w:t>
      </w:r>
      <w:proofErr w:type="gramStart"/>
      <w:r w:rsidR="00FD0A0B" w:rsidRPr="00FD0A0B">
        <w:rPr>
          <w:rFonts w:ascii="Arial" w:hAnsi="Arial" w:cs="Arial"/>
          <w:color w:val="008000"/>
          <w:sz w:val="20"/>
          <w:szCs w:val="20"/>
        </w:rPr>
        <w:t>understood,</w:t>
      </w:r>
      <w:proofErr w:type="gramEnd"/>
      <w:r w:rsidR="00FD0A0B" w:rsidRPr="00FD0A0B">
        <w:rPr>
          <w:rFonts w:ascii="Arial" w:hAnsi="Arial" w:cs="Arial"/>
          <w:color w:val="008000"/>
          <w:sz w:val="20"/>
          <w:szCs w:val="20"/>
        </w:rPr>
        <w:t xml:space="preserve">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52549DEB" w14:textId="284BCC8A" w:rsidR="00EA042B" w:rsidRPr="00EA042B" w:rsidRDefault="00EA042B" w:rsidP="00EA042B">
      <w:pPr>
        <w:ind w:left="720"/>
        <w:rPr>
          <w:rFonts w:ascii="Arial" w:hAnsi="Arial" w:cs="Arial"/>
        </w:rPr>
      </w:pPr>
    </w:p>
    <w:p w14:paraId="11742947" w14:textId="0886427E" w:rsidR="00F91BE7" w:rsidRPr="00F91BE7" w:rsidRDefault="00F91BE7" w:rsidP="00F91BE7">
      <w:pPr>
        <w:ind w:left="720"/>
        <w:rPr>
          <w:rFonts w:ascii="Arial" w:hAnsi="Arial" w:cs="Arial"/>
          <w:b/>
          <w:color w:val="008000"/>
          <w:sz w:val="20"/>
          <w:szCs w:val="20"/>
        </w:rPr>
      </w:pPr>
      <w:r w:rsidRPr="00F91BE7">
        <w:rPr>
          <w:rFonts w:ascii="Arial" w:hAnsi="Arial" w:cs="Arial"/>
          <w:b/>
          <w:color w:val="008000"/>
          <w:sz w:val="20"/>
          <w:szCs w:val="20"/>
        </w:rPr>
        <w:t xml:space="preserve">The biggest difference is ≈ 0.076 K in the resonant frequency range of 4.779- 4.788 GHz, during which the CD102 data were recorded after a magnet quench </w:t>
      </w:r>
      <w:r w:rsidR="00BD6408">
        <w:rPr>
          <w:rFonts w:ascii="Arial" w:hAnsi="Arial" w:cs="Arial"/>
          <w:b/>
          <w:color w:val="008000"/>
          <w:sz w:val="20"/>
          <w:szCs w:val="20"/>
        </w:rPr>
        <w:t>at 09:20</w:t>
      </w:r>
      <w:r w:rsidR="00BB52DF">
        <w:rPr>
          <w:rFonts w:ascii="Arial" w:hAnsi="Arial" w:cs="Arial"/>
          <w:b/>
          <w:color w:val="008000"/>
          <w:sz w:val="20"/>
          <w:szCs w:val="20"/>
        </w:rPr>
        <w:t xml:space="preserve"> </w:t>
      </w:r>
      <w:r w:rsidRPr="00F91BE7">
        <w:rPr>
          <w:rFonts w:ascii="Arial" w:hAnsi="Arial" w:cs="Arial"/>
          <w:b/>
          <w:color w:val="008000"/>
          <w:sz w:val="20"/>
          <w:szCs w:val="20"/>
        </w:rPr>
        <w:t xml:space="preserve">on </w:t>
      </w:r>
      <w:r>
        <w:rPr>
          <w:rFonts w:ascii="Arial" w:hAnsi="Arial" w:cs="Arial"/>
          <w:b/>
          <w:color w:val="008000"/>
          <w:sz w:val="20"/>
          <w:szCs w:val="20"/>
        </w:rPr>
        <w:t xml:space="preserve">October 16 due to a </w:t>
      </w:r>
      <w:r w:rsidRPr="00F91BE7">
        <w:rPr>
          <w:rFonts w:ascii="Arial" w:hAnsi="Arial" w:cs="Arial"/>
          <w:b/>
          <w:color w:val="008000"/>
          <w:sz w:val="20"/>
          <w:szCs w:val="20"/>
        </w:rPr>
        <w:t xml:space="preserve">failure </w:t>
      </w:r>
      <w:r>
        <w:rPr>
          <w:rFonts w:ascii="Arial" w:hAnsi="Arial" w:cs="Arial"/>
          <w:b/>
          <w:color w:val="008000"/>
          <w:sz w:val="20"/>
          <w:szCs w:val="20"/>
        </w:rPr>
        <w:t xml:space="preserve">of cooling water </w:t>
      </w:r>
      <w:r w:rsidRPr="00F91BE7">
        <w:rPr>
          <w:rFonts w:ascii="Arial" w:hAnsi="Arial" w:cs="Arial"/>
          <w:b/>
          <w:color w:val="008000"/>
          <w:sz w:val="20"/>
          <w:szCs w:val="20"/>
        </w:rPr>
        <w:t>and before the first rescan (see Sec. IV E for the definition of rescan).</w:t>
      </w:r>
      <w:r w:rsidR="00F73575">
        <w:rPr>
          <w:rFonts w:ascii="Arial" w:hAnsi="Arial" w:cs="Arial"/>
          <w:b/>
          <w:color w:val="008000"/>
          <w:sz w:val="20"/>
          <w:szCs w:val="20"/>
        </w:rPr>
        <w:t xml:space="preserve"> In this period, an </w:t>
      </w:r>
      <w:r w:rsidR="00BB52DF">
        <w:rPr>
          <w:rFonts w:ascii="Arial" w:hAnsi="Arial" w:cs="Arial"/>
          <w:b/>
          <w:color w:val="008000"/>
          <w:sz w:val="20"/>
          <w:szCs w:val="20"/>
        </w:rPr>
        <w:t xml:space="preserve">earthquake </w:t>
      </w:r>
      <w:r w:rsidR="00F73575">
        <w:rPr>
          <w:rFonts w:ascii="Arial" w:hAnsi="Arial" w:cs="Arial"/>
          <w:b/>
          <w:color w:val="008000"/>
          <w:sz w:val="20"/>
          <w:szCs w:val="20"/>
        </w:rPr>
        <w:t xml:space="preserve">of the intensity scale 4 </w:t>
      </w:r>
      <w:r w:rsidR="00BB52DF">
        <w:rPr>
          <w:rFonts w:ascii="Arial" w:hAnsi="Arial" w:cs="Arial"/>
          <w:b/>
          <w:color w:val="008000"/>
          <w:sz w:val="20"/>
          <w:szCs w:val="20"/>
        </w:rPr>
        <w:t>struck the lab</w:t>
      </w:r>
      <w:r w:rsidRPr="00F91BE7">
        <w:rPr>
          <w:rFonts w:ascii="Arial" w:hAnsi="Arial" w:cs="Arial"/>
          <w:b/>
          <w:color w:val="008000"/>
          <w:sz w:val="20"/>
          <w:szCs w:val="20"/>
        </w:rPr>
        <w:t xml:space="preserve"> </w:t>
      </w:r>
      <w:r w:rsidR="00BB52DF">
        <w:rPr>
          <w:rFonts w:ascii="Arial" w:hAnsi="Arial" w:cs="Arial"/>
          <w:b/>
          <w:color w:val="008000"/>
          <w:sz w:val="20"/>
          <w:szCs w:val="20"/>
        </w:rPr>
        <w:t>at 1</w:t>
      </w:r>
      <w:r w:rsidR="00BD6408">
        <w:rPr>
          <w:rFonts w:ascii="Arial" w:hAnsi="Arial" w:cs="Arial"/>
          <w:b/>
          <w:color w:val="008000"/>
          <w:sz w:val="20"/>
          <w:szCs w:val="20"/>
        </w:rPr>
        <w:t>3</w:t>
      </w:r>
      <w:r w:rsidR="00BB52DF">
        <w:rPr>
          <w:rFonts w:ascii="Arial" w:hAnsi="Arial" w:cs="Arial"/>
          <w:b/>
          <w:color w:val="008000"/>
          <w:sz w:val="20"/>
          <w:szCs w:val="20"/>
        </w:rPr>
        <w:t xml:space="preserve">:11 </w:t>
      </w:r>
      <w:r w:rsidRPr="00F91BE7">
        <w:rPr>
          <w:rFonts w:ascii="Arial" w:hAnsi="Arial" w:cs="Arial"/>
          <w:b/>
          <w:color w:val="008000"/>
          <w:sz w:val="20"/>
          <w:szCs w:val="20"/>
        </w:rPr>
        <w:t>on October 24</w:t>
      </w:r>
      <w:r>
        <w:rPr>
          <w:rFonts w:ascii="Arial" w:hAnsi="Arial" w:cs="Arial"/>
          <w:b/>
          <w:color w:val="008000"/>
          <w:sz w:val="20"/>
          <w:szCs w:val="20"/>
        </w:rPr>
        <w:t>. Both the mag</w:t>
      </w:r>
      <w:r w:rsidRPr="00F91BE7">
        <w:rPr>
          <w:rFonts w:ascii="Arial" w:hAnsi="Arial" w:cs="Arial"/>
          <w:b/>
          <w:color w:val="008000"/>
          <w:sz w:val="20"/>
          <w:szCs w:val="20"/>
        </w:rPr>
        <w:t>net quench and the earthquake may have impacts on the readout during the data taking [56]. However, the exact source of the readout c</w:t>
      </w:r>
      <w:r>
        <w:rPr>
          <w:rFonts w:ascii="Arial" w:hAnsi="Arial" w:cs="Arial"/>
          <w:b/>
          <w:color w:val="008000"/>
          <w:sz w:val="20"/>
          <w:szCs w:val="20"/>
        </w:rPr>
        <w:t>hange is not understood. There</w:t>
      </w:r>
      <w:r w:rsidRPr="00F91BE7">
        <w:rPr>
          <w:rFonts w:ascii="Arial" w:hAnsi="Arial" w:cs="Arial"/>
          <w:b/>
          <w:color w:val="008000"/>
          <w:sz w:val="20"/>
          <w:szCs w:val="20"/>
        </w:rPr>
        <w:t xml:space="preserve">fore, the difference is quoted as a systematic uncertainty together with the RMS of the noise. </w:t>
      </w:r>
    </w:p>
    <w:p w14:paraId="37057B66" w14:textId="685BC4B4" w:rsidR="00EA042B" w:rsidRDefault="00EA042B" w:rsidP="00634E9F">
      <w:pPr>
        <w:rPr>
          <w:rFonts w:ascii="Arial" w:hAnsi="Arial" w:cs="Arial"/>
        </w:rPr>
      </w:pPr>
    </w:p>
    <w:p w14:paraId="00017354" w14:textId="77777777" w:rsidR="00F91BE7" w:rsidRPr="00B17BEF" w:rsidRDefault="00F91BE7"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36ED086C" w14:textId="77777777" w:rsidR="00124E65" w:rsidRDefault="00124E65" w:rsidP="00124E65">
      <w:pPr>
        <w:rPr>
          <w:rFonts w:ascii="Arial" w:hAnsi="Arial" w:cs="Arial"/>
        </w:rPr>
      </w:pPr>
    </w:p>
    <w:p w14:paraId="070925C6" w14:textId="77777777" w:rsidR="007F6702" w:rsidRDefault="00F8678C" w:rsidP="00BA73C5">
      <w:pPr>
        <w:ind w:left="720"/>
        <w:rPr>
          <w:rFonts w:ascii="Arial" w:hAnsi="Arial" w:cs="Arial"/>
          <w:color w:val="0000FF"/>
        </w:rPr>
      </w:pPr>
      <w:r>
        <w:rPr>
          <w:rFonts w:ascii="Arial" w:hAnsi="Arial" w:cs="Arial"/>
          <w:color w:val="0000FF"/>
        </w:rPr>
        <w:t xml:space="preserve">In order to check </w:t>
      </w:r>
      <w:r w:rsidR="007F6702">
        <w:rPr>
          <w:rFonts w:ascii="Arial" w:hAnsi="Arial" w:cs="Arial"/>
          <w:color w:val="0000FF"/>
        </w:rPr>
        <w:t>if there is any</w:t>
      </w:r>
      <w:r>
        <w:rPr>
          <w:rFonts w:ascii="Arial" w:hAnsi="Arial" w:cs="Arial"/>
          <w:color w:val="0000FF"/>
        </w:rPr>
        <w:t xml:space="preserve"> correlation between frequency bins</w:t>
      </w:r>
      <w:r w:rsidR="007F6702">
        <w:rPr>
          <w:rFonts w:ascii="Arial" w:hAnsi="Arial" w:cs="Arial"/>
          <w:color w:val="0000FF"/>
        </w:rPr>
        <w:t xml:space="preserve"> before they are merged together</w:t>
      </w:r>
      <w:r>
        <w:rPr>
          <w:rFonts w:ascii="Arial" w:hAnsi="Arial" w:cs="Arial"/>
          <w:color w:val="0000FF"/>
        </w:rPr>
        <w:t xml:space="preserve">, </w:t>
      </w:r>
      <w:r w:rsidR="007F6702">
        <w:rPr>
          <w:rFonts w:ascii="Arial" w:hAnsi="Arial" w:cs="Arial"/>
          <w:color w:val="0000FF"/>
        </w:rPr>
        <w:t xml:space="preserve">we have tried various methods. </w:t>
      </w:r>
    </w:p>
    <w:p w14:paraId="2533D64B" w14:textId="77777777" w:rsidR="007F6702" w:rsidRDefault="007F6702" w:rsidP="00BA73C5">
      <w:pPr>
        <w:ind w:left="720"/>
        <w:rPr>
          <w:rFonts w:ascii="Arial" w:hAnsi="Arial" w:cs="Arial"/>
          <w:color w:val="0000FF"/>
        </w:rPr>
      </w:pPr>
    </w:p>
    <w:p w14:paraId="0C4E5EE2" w14:textId="11280AB9" w:rsidR="007F6702" w:rsidRDefault="007F6702" w:rsidP="007F6702">
      <w:pPr>
        <w:pStyle w:val="ListParagraph"/>
        <w:numPr>
          <w:ilvl w:val="0"/>
          <w:numId w:val="5"/>
        </w:numPr>
        <w:rPr>
          <w:rFonts w:ascii="Arial" w:hAnsi="Arial" w:cs="Arial"/>
          <w:color w:val="0000FF"/>
        </w:rPr>
      </w:pPr>
      <w:r>
        <w:rPr>
          <w:rFonts w:ascii="Arial" w:hAnsi="Arial" w:cs="Arial"/>
          <w:color w:val="0000FF"/>
        </w:rPr>
        <w:t>W</w:t>
      </w:r>
      <w:r w:rsidRPr="007F6702">
        <w:rPr>
          <w:rFonts w:ascii="Arial" w:hAnsi="Arial" w:cs="Arial"/>
          <w:color w:val="0000FF"/>
        </w:rPr>
        <w:t xml:space="preserve">e simulated the noise spectrum </w:t>
      </w:r>
      <w:r>
        <w:rPr>
          <w:rFonts w:ascii="Arial" w:hAnsi="Arial" w:cs="Arial"/>
          <w:color w:val="0000FF"/>
        </w:rPr>
        <w:t>based on the functions returned by a fit to the CD102 data. Then, we</w:t>
      </w:r>
      <w:r w:rsidRPr="007F6702">
        <w:rPr>
          <w:rFonts w:ascii="Arial" w:hAnsi="Arial" w:cs="Arial"/>
          <w:color w:val="0000FF"/>
        </w:rPr>
        <w:t xml:space="preserve"> performed the full analysis procedure. </w:t>
      </w:r>
      <w:r>
        <w:rPr>
          <w:rFonts w:ascii="Arial" w:hAnsi="Arial" w:cs="Arial"/>
          <w:color w:val="0000FF"/>
        </w:rPr>
        <w:t xml:space="preserve">We computed the correlation coefficients between </w:t>
      </w:r>
      <w:proofErr w:type="gramStart"/>
      <w:r>
        <w:rPr>
          <w:rFonts w:ascii="Arial" w:hAnsi="Arial" w:cs="Arial"/>
          <w:color w:val="0000FF"/>
        </w:rPr>
        <w:t>frequency</w:t>
      </w:r>
      <w:proofErr w:type="gramEnd"/>
      <w:r>
        <w:rPr>
          <w:rFonts w:ascii="Arial" w:hAnsi="Arial" w:cs="Arial"/>
          <w:color w:val="0000FF"/>
        </w:rPr>
        <w:t xml:space="preserve"> bin </w:t>
      </w:r>
      <w:proofErr w:type="spellStart"/>
      <w:r w:rsidRPr="007F6702">
        <w:rPr>
          <w:rFonts w:ascii="Arial" w:hAnsi="Arial" w:cs="Arial"/>
          <w:i/>
          <w:color w:val="0000FF"/>
        </w:rPr>
        <w:t>i</w:t>
      </w:r>
      <w:proofErr w:type="spellEnd"/>
      <w:r>
        <w:rPr>
          <w:rFonts w:ascii="Arial" w:hAnsi="Arial" w:cs="Arial"/>
          <w:i/>
          <w:color w:val="0000FF"/>
        </w:rPr>
        <w:t xml:space="preserve"> </w:t>
      </w:r>
      <w:r>
        <w:rPr>
          <w:rFonts w:ascii="Arial" w:hAnsi="Arial" w:cs="Arial"/>
          <w:color w:val="0000FF"/>
        </w:rPr>
        <w:t xml:space="preserve">and bin </w:t>
      </w:r>
      <w:proofErr w:type="spellStart"/>
      <w:r w:rsidRPr="007F6702">
        <w:rPr>
          <w:rFonts w:ascii="Arial" w:hAnsi="Arial" w:cs="Arial"/>
          <w:i/>
          <w:color w:val="0000FF"/>
        </w:rPr>
        <w:t>i+n</w:t>
      </w:r>
      <w:proofErr w:type="spellEnd"/>
      <w:r>
        <w:rPr>
          <w:rFonts w:ascii="Arial" w:hAnsi="Arial" w:cs="Arial"/>
          <w:color w:val="0000FF"/>
        </w:rPr>
        <w:t xml:space="preserve">. Overall, after combining and before merging, the correlation coefficients range from -0.04 to 0 (-0.02 on average of all frequency bins). </w:t>
      </w:r>
    </w:p>
    <w:p w14:paraId="44AE39FE" w14:textId="77777777" w:rsidR="004C6EE6" w:rsidRDefault="004C6EE6" w:rsidP="004C6EE6">
      <w:pPr>
        <w:pStyle w:val="ListParagraph"/>
        <w:ind w:left="1440"/>
        <w:rPr>
          <w:rFonts w:ascii="Arial" w:hAnsi="Arial" w:cs="Arial"/>
          <w:color w:val="0000FF"/>
        </w:rPr>
      </w:pPr>
    </w:p>
    <w:p w14:paraId="17D61277" w14:textId="1FDD90C4" w:rsidR="00F8678C" w:rsidRDefault="007F6702" w:rsidP="007F6702">
      <w:pPr>
        <w:pStyle w:val="ListParagraph"/>
        <w:numPr>
          <w:ilvl w:val="0"/>
          <w:numId w:val="5"/>
        </w:numPr>
        <w:rPr>
          <w:rFonts w:ascii="Arial" w:hAnsi="Arial" w:cs="Arial"/>
          <w:color w:val="0000FF"/>
        </w:rPr>
      </w:pPr>
      <w:r>
        <w:rPr>
          <w:rFonts w:ascii="Arial" w:hAnsi="Arial" w:cs="Arial"/>
          <w:color w:val="0000FF"/>
        </w:rPr>
        <w:t>To check if there is any correlation between frequency bins before a certain analysis step, we can also check if th</w:t>
      </w:r>
      <w:r w:rsidR="00BA34AA">
        <w:rPr>
          <w:rFonts w:ascii="Arial" w:hAnsi="Arial" w:cs="Arial"/>
          <w:color w:val="0000FF"/>
        </w:rPr>
        <w:t>e sigma in each bin is computed correctly in this step</w:t>
      </w:r>
      <w:r w:rsidR="00252C7B">
        <w:rPr>
          <w:rFonts w:ascii="Arial" w:hAnsi="Arial" w:cs="Arial"/>
          <w:color w:val="0000FF"/>
        </w:rPr>
        <w:t xml:space="preserve"> (to see if we need to take into account the correlation terms)</w:t>
      </w:r>
      <w:r>
        <w:rPr>
          <w:rFonts w:ascii="Arial" w:hAnsi="Arial" w:cs="Arial"/>
          <w:color w:val="0000FF"/>
        </w:rPr>
        <w:t>. W</w:t>
      </w:r>
      <w:r w:rsidR="00D43876" w:rsidRPr="007F6702">
        <w:rPr>
          <w:rFonts w:ascii="Arial" w:hAnsi="Arial" w:cs="Arial"/>
          <w:color w:val="0000FF"/>
        </w:rPr>
        <w:t>e</w:t>
      </w:r>
      <w:r w:rsidR="00BA73C5" w:rsidRPr="007F6702">
        <w:rPr>
          <w:rFonts w:ascii="Arial" w:hAnsi="Arial" w:cs="Arial"/>
          <w:color w:val="0000FF"/>
        </w:rPr>
        <w:t xml:space="preserve"> have plotted the </w:t>
      </w:r>
      <w:r w:rsidR="00F8678C" w:rsidRPr="007F6702">
        <w:rPr>
          <w:rFonts w:ascii="Arial" w:hAnsi="Arial" w:cs="Arial"/>
          <w:color w:val="0000FF"/>
        </w:rPr>
        <w:t xml:space="preserve">distributions of </w:t>
      </w:r>
      <w:r w:rsidR="00F604AD" w:rsidRPr="007F6702">
        <w:rPr>
          <w:rFonts w:ascii="Arial" w:hAnsi="Arial" w:cs="Arial"/>
          <w:color w:val="0000FF"/>
        </w:rPr>
        <w:t>δ/σ (or the so-calle</w:t>
      </w:r>
      <w:r w:rsidR="00D43876" w:rsidRPr="007F6702">
        <w:rPr>
          <w:rFonts w:ascii="Arial" w:hAnsi="Arial" w:cs="Arial"/>
          <w:color w:val="0000FF"/>
        </w:rPr>
        <w:t xml:space="preserve">d normalized power excess in Fig. 4 of the </w:t>
      </w:r>
      <w:r w:rsidR="00F604AD" w:rsidRPr="007F6702">
        <w:rPr>
          <w:rFonts w:ascii="Arial" w:hAnsi="Arial" w:cs="Arial"/>
          <w:color w:val="0000FF"/>
        </w:rPr>
        <w:t>HAYSTAC pap</w:t>
      </w:r>
      <w:r w:rsidR="00F8678C" w:rsidRPr="007F6702">
        <w:rPr>
          <w:rFonts w:ascii="Arial" w:hAnsi="Arial" w:cs="Arial"/>
          <w:color w:val="0000FF"/>
        </w:rPr>
        <w:t>er)</w:t>
      </w:r>
      <w:r w:rsidR="00F604AD" w:rsidRPr="007F6702">
        <w:rPr>
          <w:rFonts w:ascii="Arial" w:hAnsi="Arial" w:cs="Arial"/>
          <w:color w:val="0000FF"/>
        </w:rPr>
        <w:t xml:space="preserve"> after performing each stage of the analysis</w:t>
      </w:r>
      <w:r w:rsidR="00F8678C" w:rsidRPr="007F6702">
        <w:rPr>
          <w:rFonts w:ascii="Arial" w:hAnsi="Arial" w:cs="Arial"/>
          <w:color w:val="0000FF"/>
        </w:rPr>
        <w:t>. Then, we</w:t>
      </w:r>
      <w:r w:rsidR="00F604AD" w:rsidRPr="007F6702">
        <w:rPr>
          <w:rFonts w:ascii="Arial" w:hAnsi="Arial" w:cs="Arial"/>
          <w:color w:val="0000FF"/>
        </w:rPr>
        <w:t xml:space="preserve"> fitted the distributions to a Gaussian function. The means are all consistent with ze</w:t>
      </w:r>
      <w:r w:rsidR="00147CEE" w:rsidRPr="007F6702">
        <w:rPr>
          <w:rFonts w:ascii="Arial" w:hAnsi="Arial" w:cs="Arial"/>
          <w:color w:val="0000FF"/>
        </w:rPr>
        <w:t xml:space="preserve">ro after combining and merging. </w:t>
      </w:r>
      <w:proofErr w:type="gramStart"/>
      <w:r w:rsidR="00147CEE" w:rsidRPr="007F6702">
        <w:rPr>
          <w:rFonts w:ascii="Arial" w:hAnsi="Arial" w:cs="Arial"/>
          <w:color w:val="0000FF"/>
        </w:rPr>
        <w:t>T</w:t>
      </w:r>
      <w:r w:rsidR="00F604AD" w:rsidRPr="007F6702">
        <w:rPr>
          <w:rFonts w:ascii="Arial" w:hAnsi="Arial" w:cs="Arial"/>
          <w:color w:val="0000FF"/>
        </w:rPr>
        <w:t>he widths are consiste</w:t>
      </w:r>
      <w:r w:rsidR="00D43876" w:rsidRPr="007F6702">
        <w:rPr>
          <w:rFonts w:ascii="Arial" w:hAnsi="Arial" w:cs="Arial"/>
          <w:color w:val="0000FF"/>
        </w:rPr>
        <w:t>nt with unity after combining but slightly smaller than unity (0.987±0.002)</w:t>
      </w:r>
      <w:r w:rsidR="00147CEE" w:rsidRPr="007F6702">
        <w:rPr>
          <w:rFonts w:ascii="Arial" w:hAnsi="Arial" w:cs="Arial"/>
          <w:color w:val="0000FF"/>
        </w:rPr>
        <w:t xml:space="preserve"> after merging</w:t>
      </w:r>
      <w:proofErr w:type="gramEnd"/>
      <w:r w:rsidR="00147CEE" w:rsidRPr="007F6702">
        <w:rPr>
          <w:rFonts w:ascii="Arial" w:hAnsi="Arial" w:cs="Arial"/>
          <w:color w:val="0000FF"/>
        </w:rPr>
        <w:t xml:space="preserve">, </w:t>
      </w:r>
      <w:proofErr w:type="gramStart"/>
      <w:r w:rsidR="00147CEE" w:rsidRPr="007F6702">
        <w:rPr>
          <w:rFonts w:ascii="Arial" w:hAnsi="Arial" w:cs="Arial"/>
          <w:color w:val="0000FF"/>
        </w:rPr>
        <w:t>see the figure below</w:t>
      </w:r>
      <w:proofErr w:type="gramEnd"/>
      <w:r w:rsidR="00D43876" w:rsidRPr="007F6702">
        <w:rPr>
          <w:rFonts w:ascii="Arial" w:hAnsi="Arial" w:cs="Arial"/>
          <w:color w:val="0000FF"/>
        </w:rPr>
        <w:t xml:space="preserve">. </w:t>
      </w:r>
      <w:r w:rsidR="009D4CE4" w:rsidRPr="007F6702">
        <w:rPr>
          <w:rFonts w:ascii="Arial" w:hAnsi="Arial" w:cs="Arial"/>
          <w:color w:val="0000FF"/>
        </w:rPr>
        <w:t>This width after merging is also con</w:t>
      </w:r>
      <w:r w:rsidR="00F8678C" w:rsidRPr="007F6702">
        <w:rPr>
          <w:rFonts w:ascii="Arial" w:hAnsi="Arial" w:cs="Arial"/>
          <w:color w:val="0000FF"/>
        </w:rPr>
        <w:t xml:space="preserve">firmed by 10000 toy simulations </w:t>
      </w:r>
      <w:r w:rsidR="009D4CE4" w:rsidRPr="007F6702">
        <w:rPr>
          <w:rFonts w:ascii="Arial" w:hAnsi="Arial" w:cs="Arial"/>
          <w:color w:val="0000FF"/>
        </w:rPr>
        <w:t xml:space="preserve">(width=0.9832±0.0002). </w:t>
      </w:r>
      <w:r w:rsidR="00F8678C" w:rsidRPr="007F6702">
        <w:rPr>
          <w:rFonts w:ascii="Arial" w:hAnsi="Arial" w:cs="Arial"/>
          <w:color w:val="0000FF"/>
        </w:rPr>
        <w:t xml:space="preserve">The result implies that </w:t>
      </w:r>
      <w:r w:rsidR="00BA34AA">
        <w:rPr>
          <w:rFonts w:ascii="Arial" w:hAnsi="Arial" w:cs="Arial"/>
          <w:color w:val="0000FF"/>
        </w:rPr>
        <w:t xml:space="preserve">the sigma of each bin after merging is </w:t>
      </w:r>
      <w:r w:rsidR="00F02B54">
        <w:rPr>
          <w:rFonts w:ascii="Arial" w:hAnsi="Arial" w:cs="Arial"/>
          <w:color w:val="0000FF"/>
        </w:rPr>
        <w:t>overestimated, due to</w:t>
      </w:r>
      <w:r w:rsidR="00F8678C" w:rsidRPr="007F6702">
        <w:rPr>
          <w:rFonts w:ascii="Arial" w:hAnsi="Arial" w:cs="Arial"/>
          <w:color w:val="0000FF"/>
        </w:rPr>
        <w:t xml:space="preserve"> a negative correlation between frequency bins before they are merged. </w:t>
      </w:r>
    </w:p>
    <w:p w14:paraId="1FE3E4EF" w14:textId="77777777" w:rsidR="004C6EE6" w:rsidRPr="004C6EE6" w:rsidRDefault="004C6EE6" w:rsidP="004C6EE6">
      <w:pPr>
        <w:rPr>
          <w:rFonts w:ascii="Arial" w:hAnsi="Arial" w:cs="Arial"/>
          <w:color w:val="0000FF"/>
        </w:rPr>
      </w:pPr>
    </w:p>
    <w:p w14:paraId="6D8A0461" w14:textId="77777777" w:rsidR="00F8678C" w:rsidRDefault="00F8678C" w:rsidP="0081515C">
      <w:pPr>
        <w:rPr>
          <w:rFonts w:ascii="Arial" w:hAnsi="Arial" w:cs="Arial"/>
          <w:color w:val="0000FF"/>
        </w:rPr>
      </w:pPr>
    </w:p>
    <w:p w14:paraId="6803CB28" w14:textId="6676AD47" w:rsidR="00BA73C5" w:rsidRDefault="00D43876" w:rsidP="00F8678C">
      <w:pPr>
        <w:ind w:left="720"/>
        <w:rPr>
          <w:rFonts w:ascii="Arial" w:hAnsi="Arial" w:cs="Arial"/>
          <w:color w:val="0000FF"/>
        </w:rPr>
      </w:pPr>
      <w:r>
        <w:rPr>
          <w:rFonts w:ascii="Arial" w:hAnsi="Arial" w:cs="Arial"/>
          <w:color w:val="0000FF"/>
        </w:rPr>
        <w:t xml:space="preserve">Compared with the width seen by HAYSTAC (0.93), we conclude that the correlation is smaller </w:t>
      </w:r>
      <w:r w:rsidR="009D4CE4">
        <w:rPr>
          <w:rFonts w:ascii="Arial" w:hAnsi="Arial" w:cs="Arial"/>
          <w:color w:val="0000FF"/>
        </w:rPr>
        <w:t>in our case. F</w:t>
      </w:r>
      <w:r>
        <w:rPr>
          <w:rFonts w:ascii="Arial" w:hAnsi="Arial" w:cs="Arial"/>
          <w:color w:val="0000FF"/>
        </w:rPr>
        <w:t>rom the pape</w:t>
      </w:r>
      <w:r w:rsidR="009D4CE4">
        <w:rPr>
          <w:rFonts w:ascii="Arial" w:hAnsi="Arial" w:cs="Arial"/>
          <w:color w:val="0000FF"/>
        </w:rPr>
        <w:t>rs of ADMX, CAPP, and HAYSTAC, we understand</w:t>
      </w:r>
      <w:r>
        <w:rPr>
          <w:rFonts w:ascii="Arial" w:hAnsi="Arial" w:cs="Arial"/>
          <w:color w:val="0000FF"/>
        </w:rPr>
        <w:t xml:space="preserve"> that taking into account </w:t>
      </w:r>
      <w:r w:rsidR="0081515C">
        <w:rPr>
          <w:rFonts w:ascii="Arial" w:hAnsi="Arial" w:cs="Arial"/>
          <w:color w:val="0000FF"/>
        </w:rPr>
        <w:t xml:space="preserve">negative </w:t>
      </w:r>
      <w:r>
        <w:rPr>
          <w:rFonts w:ascii="Arial" w:hAnsi="Arial" w:cs="Arial"/>
          <w:color w:val="0000FF"/>
        </w:rPr>
        <w:t>correlation improves the limits</w:t>
      </w:r>
      <w:r w:rsidR="0081515C">
        <w:rPr>
          <w:rFonts w:ascii="Arial" w:hAnsi="Arial" w:cs="Arial"/>
          <w:color w:val="0000FF"/>
        </w:rPr>
        <w:t xml:space="preserve"> (since the sigma will be reduced)</w:t>
      </w:r>
      <w:bookmarkStart w:id="0" w:name="_GoBack"/>
      <w:bookmarkEnd w:id="0"/>
      <w:r>
        <w:rPr>
          <w:rFonts w:ascii="Arial" w:hAnsi="Arial" w:cs="Arial"/>
          <w:color w:val="0000FF"/>
        </w:rPr>
        <w:t xml:space="preserve">. </w:t>
      </w:r>
      <w:r w:rsidR="009D4CE4">
        <w:rPr>
          <w:rFonts w:ascii="Arial" w:hAnsi="Arial" w:cs="Arial"/>
          <w:color w:val="0000FF"/>
        </w:rPr>
        <w:t>However, g</w:t>
      </w:r>
      <w:r>
        <w:rPr>
          <w:rFonts w:ascii="Arial" w:hAnsi="Arial" w:cs="Arial"/>
          <w:color w:val="0000FF"/>
        </w:rPr>
        <w:t xml:space="preserve">iven that this is our first analysis, we have decided to take a more conservative but simpler approach and assume the uncertainties are uncorrelated across different frequency bins. </w:t>
      </w:r>
    </w:p>
    <w:p w14:paraId="4D0C08E6" w14:textId="77777777" w:rsidR="00D43876" w:rsidRDefault="00D43876" w:rsidP="00BA73C5">
      <w:pPr>
        <w:ind w:left="720"/>
        <w:rPr>
          <w:rFonts w:ascii="Arial" w:hAnsi="Arial" w:cs="Arial"/>
          <w:color w:val="0000FF"/>
        </w:rPr>
      </w:pPr>
    </w:p>
    <w:p w14:paraId="01D5A2EB" w14:textId="77777777" w:rsidR="00147CEE" w:rsidRDefault="00147CEE" w:rsidP="00147CEE">
      <w:pPr>
        <w:keepNext/>
        <w:ind w:left="720"/>
      </w:pPr>
      <w:r>
        <w:rPr>
          <w:rFonts w:ascii="Arial" w:hAnsi="Arial" w:cs="Arial"/>
          <w:noProof/>
          <w:color w:val="0000FF"/>
        </w:rPr>
        <w:drawing>
          <wp:inline distT="0" distB="0" distL="0" distR="0" wp14:anchorId="68E28C12" wp14:editId="1BC3F809">
            <wp:extent cx="2741706" cy="21616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22_07_09T07_45_30_151Z.png"/>
                    <pic:cNvPicPr/>
                  </pic:nvPicPr>
                  <pic:blipFill>
                    <a:blip r:embed="rId7">
                      <a:extLst>
                        <a:ext uri="{28A0092B-C50C-407E-A947-70E740481C1C}">
                          <a14:useLocalDpi xmlns:a14="http://schemas.microsoft.com/office/drawing/2010/main" val="0"/>
                        </a:ext>
                      </a:extLst>
                    </a:blip>
                    <a:stretch>
                      <a:fillRect/>
                    </a:stretch>
                  </pic:blipFill>
                  <pic:spPr>
                    <a:xfrm>
                      <a:off x="0" y="0"/>
                      <a:ext cx="2742088" cy="2161934"/>
                    </a:xfrm>
                    <a:prstGeom prst="rect">
                      <a:avLst/>
                    </a:prstGeom>
                  </pic:spPr>
                </pic:pic>
              </a:graphicData>
            </a:graphic>
          </wp:inline>
        </w:drawing>
      </w:r>
    </w:p>
    <w:p w14:paraId="26FFDFC5" w14:textId="5E59C8DC" w:rsidR="00147CEE" w:rsidRDefault="00147CEE" w:rsidP="00147CEE">
      <w:pPr>
        <w:pStyle w:val="Caption"/>
        <w:rPr>
          <w:rFonts w:ascii="Arial" w:hAnsi="Arial" w:cs="Arial"/>
          <w:color w:val="0000FF"/>
        </w:rPr>
      </w:pPr>
      <w:r>
        <w:t xml:space="preserve">Figure </w:t>
      </w:r>
      <w:fldSimple w:instr=" SEQ Figure \* ARABIC ">
        <w:r w:rsidR="004C6EE6">
          <w:rPr>
            <w:noProof/>
          </w:rPr>
          <w:t>1</w:t>
        </w:r>
      </w:fldSimple>
      <w:r>
        <w:t>: The histogram of the ratio δ/σ obtained from data after merging.</w:t>
      </w:r>
    </w:p>
    <w:p w14:paraId="41385E23" w14:textId="77777777" w:rsidR="00147CEE" w:rsidRDefault="00147CEE" w:rsidP="00BA73C5">
      <w:pPr>
        <w:ind w:left="720"/>
        <w:rPr>
          <w:rFonts w:ascii="Arial" w:hAnsi="Arial" w:cs="Arial"/>
          <w:color w:val="0000FF"/>
        </w:rPr>
      </w:pPr>
    </w:p>
    <w:p w14:paraId="235D65EC" w14:textId="77777777" w:rsidR="00D43876" w:rsidRPr="00BA73C5" w:rsidRDefault="00D43876" w:rsidP="00BA73C5">
      <w:pPr>
        <w:ind w:left="720"/>
        <w:rPr>
          <w:rFonts w:ascii="Arial" w:hAnsi="Arial" w:cs="Arial"/>
          <w:color w:val="0000FF"/>
        </w:rPr>
      </w:pPr>
    </w:p>
    <w:p w14:paraId="29C6A02E" w14:textId="77777777" w:rsidR="00037F7D" w:rsidRDefault="00037F7D" w:rsidP="00037F7D">
      <w:pPr>
        <w:ind w:left="720"/>
        <w:rPr>
          <w:rFonts w:ascii="Arial" w:hAnsi="Arial" w:cs="Arial"/>
          <w:color w:val="0000FF"/>
        </w:rPr>
      </w:pPr>
      <w:r>
        <w:rPr>
          <w:rFonts w:ascii="Arial" w:hAnsi="Arial" w:cs="Arial"/>
          <w:color w:val="0000FF"/>
        </w:rPr>
        <w:t>The original text</w:t>
      </w:r>
    </w:p>
    <w:p w14:paraId="43FBC8F8" w14:textId="77777777" w:rsidR="00037F7D" w:rsidRDefault="00037F7D" w:rsidP="00037F7D">
      <w:pPr>
        <w:ind w:left="720"/>
        <w:rPr>
          <w:rFonts w:ascii="Arial" w:hAnsi="Arial" w:cs="Arial"/>
          <w:color w:val="0000FF"/>
        </w:rPr>
      </w:pPr>
    </w:p>
    <w:p w14:paraId="00680893" w14:textId="77777777" w:rsidR="00BA73C5" w:rsidRPr="00BA73C5" w:rsidRDefault="00BA73C5" w:rsidP="00BA73C5">
      <w:pPr>
        <w:ind w:left="720"/>
        <w:rPr>
          <w:rFonts w:ascii="Arial" w:hAnsi="Arial" w:cs="Arial"/>
          <w:color w:val="008000"/>
          <w:sz w:val="20"/>
          <w:szCs w:val="20"/>
        </w:rPr>
      </w:pPr>
      <w:r w:rsidRPr="00BA73C5">
        <w:rPr>
          <w:rFonts w:ascii="Arial" w:hAnsi="Arial" w:cs="Arial"/>
          <w:color w:val="008000"/>
          <w:sz w:val="20"/>
          <w:szCs w:val="20"/>
        </w:rPr>
        <w:t xml:space="preserve">In this paper, the uncertainties are considered to be uncorrelated between different frequency bins while Ref. [45] takes into account the correlation. </w:t>
      </w:r>
    </w:p>
    <w:p w14:paraId="66E04211" w14:textId="77777777" w:rsidR="00037F7D" w:rsidRDefault="00037F7D" w:rsidP="00037F7D">
      <w:pPr>
        <w:ind w:left="720"/>
        <w:rPr>
          <w:rFonts w:ascii="Arial" w:hAnsi="Arial" w:cs="Arial"/>
          <w:color w:val="0000FF"/>
        </w:rPr>
      </w:pPr>
    </w:p>
    <w:p w14:paraId="445381F5" w14:textId="77777777" w:rsidR="00037F7D" w:rsidRDefault="00037F7D" w:rsidP="00037F7D">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52AD708A" w14:textId="77777777" w:rsidR="00037F7D" w:rsidRDefault="00037F7D" w:rsidP="00037F7D">
      <w:pPr>
        <w:ind w:left="720"/>
        <w:rPr>
          <w:rFonts w:ascii="Arial" w:hAnsi="Arial" w:cs="Arial"/>
          <w:color w:val="0000FF"/>
        </w:rPr>
      </w:pPr>
    </w:p>
    <w:p w14:paraId="518CEA29" w14:textId="77777777" w:rsidR="00BA73C5" w:rsidRPr="009A4A0F" w:rsidRDefault="00037F7D" w:rsidP="00BA73C5">
      <w:pPr>
        <w:ind w:left="720"/>
        <w:rPr>
          <w:rFonts w:ascii="Arial" w:hAnsi="Arial" w:cs="Arial"/>
          <w:b/>
          <w:color w:val="008000"/>
          <w:sz w:val="20"/>
          <w:szCs w:val="20"/>
        </w:rPr>
      </w:pPr>
      <w:r>
        <w:rPr>
          <w:rFonts w:ascii="Arial" w:hAnsi="Arial" w:cs="Arial"/>
          <w:color w:val="0000FF"/>
        </w:rPr>
        <w:t xml:space="preserve"> </w:t>
      </w:r>
      <w:r w:rsidR="00BA73C5" w:rsidRPr="009A4A0F">
        <w:rPr>
          <w:rFonts w:ascii="Arial" w:hAnsi="Arial" w:cs="Arial"/>
          <w:b/>
          <w:color w:val="008000"/>
          <w:sz w:val="20"/>
          <w:szCs w:val="20"/>
        </w:rPr>
        <w:t xml:space="preserve">While Ref. [49] takes into account the correlation of the uncertainties between different frequency bins, this paper adopts a simple and conservative approach and considers the uncertainties are uncorrelated. </w:t>
      </w:r>
    </w:p>
    <w:p w14:paraId="62C3447C" w14:textId="3529ACFC" w:rsidR="00037F7D" w:rsidRPr="008D778D" w:rsidRDefault="00037F7D" w:rsidP="00037F7D">
      <w:pPr>
        <w:ind w:left="720"/>
        <w:rPr>
          <w:rFonts w:ascii="Arial" w:hAnsi="Arial" w:cs="Arial"/>
          <w:b/>
          <w:color w:val="008000"/>
          <w:sz w:val="20"/>
          <w:szCs w:val="20"/>
        </w:rPr>
      </w:pPr>
    </w:p>
    <w:p w14:paraId="3E68E430" w14:textId="77777777" w:rsidR="00124E65" w:rsidRDefault="00124E65" w:rsidP="00124E65">
      <w:pPr>
        <w:ind w:left="360"/>
        <w:rPr>
          <w:rFonts w:ascii="Arial" w:hAnsi="Arial" w:cs="Arial"/>
        </w:rPr>
      </w:pPr>
    </w:p>
    <w:p w14:paraId="5906CDD1" w14:textId="77777777" w:rsidR="00124E65" w:rsidRPr="00B17BEF" w:rsidRDefault="00124E65" w:rsidP="00124E65">
      <w:pPr>
        <w:rPr>
          <w:rFonts w:ascii="Arial" w:hAnsi="Arial" w:cs="Arial"/>
        </w:rPr>
      </w:pP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w:t>
      </w:r>
      <w:proofErr w:type="spellStart"/>
      <w:r w:rsidRPr="00B17BEF">
        <w:rPr>
          <w:rFonts w:ascii="Arial" w:hAnsi="Arial" w:cs="Arial"/>
        </w:rPr>
        <w:t>f_ij</w:t>
      </w:r>
      <w:proofErr w:type="spellEnd"/>
      <w:r w:rsidRPr="00B17BEF">
        <w:rPr>
          <w:rFonts w:ascii="Arial" w:hAnsi="Arial" w:cs="Arial"/>
        </w:rPr>
        <w:t xml:space="preserve"> in bin j and the </w:t>
      </w:r>
      <w:r w:rsidRPr="00B17BEF">
        <w:rPr>
          <w:rFonts w:ascii="Arial" w:hAnsi="Arial" w:cs="Arial"/>
          <w:b/>
          <w:bCs/>
        </w:rPr>
        <w:t xml:space="preserve">cavity </w:t>
      </w:r>
      <w:r w:rsidRPr="00B17BEF">
        <w:rPr>
          <w:rFonts w:ascii="Arial" w:hAnsi="Arial" w:cs="Arial"/>
        </w:rPr>
        <w:t xml:space="preserve">resonant frequency </w:t>
      </w:r>
      <w:proofErr w:type="spellStart"/>
      <w:r w:rsidRPr="00B17BEF">
        <w:rPr>
          <w:rFonts w:ascii="Arial" w:hAnsi="Arial" w:cs="Arial"/>
        </w:rPr>
        <w:t>f_ci</w:t>
      </w:r>
      <w:proofErr w:type="spellEnd"/>
      <w:r w:rsidRPr="00B17BEF">
        <w:rPr>
          <w:rFonts w:ascii="Arial" w:hAnsi="Arial" w:cs="Arial"/>
        </w:rPr>
        <w:t>.”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7F896CC8"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w:t>
      </w:r>
      <w:r w:rsidR="004E1CBC">
        <w:rPr>
          <w:rFonts w:ascii="Arial" w:hAnsi="Arial" w:cs="Arial"/>
          <w:color w:val="0000FF"/>
        </w:rPr>
        <w:t>es. Therefore, we cannot rule this signal</w:t>
      </w:r>
      <w:r>
        <w:rPr>
          <w:rFonts w:ascii="Arial" w:hAnsi="Arial" w:cs="Arial"/>
          <w:color w:val="0000FF"/>
        </w:rPr>
        <w:t xml:space="preserve">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2CA24B48" w14:textId="77777777" w:rsidR="00637B8D" w:rsidRDefault="00637B8D" w:rsidP="00637B8D">
      <w:pPr>
        <w:ind w:left="720"/>
        <w:rPr>
          <w:rFonts w:ascii="Arial" w:hAnsi="Arial" w:cs="Arial"/>
        </w:rPr>
      </w:pPr>
    </w:p>
    <w:p w14:paraId="4EFC5FFC" w14:textId="587ACC67" w:rsidR="00516D8C" w:rsidRDefault="00837C9E" w:rsidP="00837C9E">
      <w:pPr>
        <w:ind w:left="720"/>
        <w:rPr>
          <w:rFonts w:ascii="Arial" w:hAnsi="Arial" w:cs="Arial"/>
        </w:rPr>
      </w:pPr>
      <w:r w:rsidRPr="00837C9E">
        <w:rPr>
          <w:rFonts w:ascii="Arial" w:hAnsi="Arial" w:cs="Arial"/>
          <w:color w:val="0000FF"/>
        </w:rPr>
        <w:t>Indeed, we performed the hardware synthetic axion injection </w:t>
      </w:r>
      <w:r w:rsidRPr="00837C9E">
        <w:rPr>
          <w:rFonts w:ascii="Arial" w:hAnsi="Arial" w:cs="Arial"/>
          <w:color w:val="0000FF"/>
        </w:rPr>
        <w:br/>
        <w:t>experiments only after the data taking to verify analysis procedures.</w:t>
      </w:r>
    </w:p>
    <w:p w14:paraId="3C2F03DB" w14:textId="7E7C4A20" w:rsidR="00837C9E" w:rsidRPr="00837C9E" w:rsidRDefault="00837C9E" w:rsidP="00837C9E">
      <w:pPr>
        <w:ind w:left="720"/>
        <w:rPr>
          <w:rFonts w:ascii="Arial" w:hAnsi="Arial" w:cs="Arial"/>
          <w:color w:val="0000FF"/>
        </w:rPr>
      </w:pPr>
      <w:r w:rsidRPr="00837C9E">
        <w:rPr>
          <w:rFonts w:ascii="Arial" w:hAnsi="Arial" w:cs="Arial"/>
          <w:color w:val="0000FF"/>
        </w:rPr>
        <w:t>Before the data taking, we performed the scatte</w:t>
      </w:r>
      <w:r w:rsidR="00A618F0">
        <w:rPr>
          <w:rFonts w:ascii="Arial" w:hAnsi="Arial" w:cs="Arial"/>
          <w:color w:val="0000FF"/>
        </w:rPr>
        <w:t>ring parameter </w:t>
      </w:r>
      <w:r w:rsidR="00A618F0">
        <w:rPr>
          <w:rFonts w:ascii="Arial" w:hAnsi="Arial" w:cs="Arial"/>
          <w:color w:val="0000FF"/>
        </w:rPr>
        <w:br/>
        <w:t>measurements, S</w:t>
      </w:r>
      <w:r w:rsidRPr="00A618F0">
        <w:rPr>
          <w:rFonts w:ascii="Arial" w:hAnsi="Arial" w:cs="Arial"/>
          <w:color w:val="0000FF"/>
          <w:vertAlign w:val="subscript"/>
        </w:rPr>
        <w:t>11</w:t>
      </w:r>
      <w:r w:rsidR="00A618F0">
        <w:rPr>
          <w:rFonts w:ascii="Arial" w:hAnsi="Arial" w:cs="Arial"/>
          <w:color w:val="0000FF"/>
        </w:rPr>
        <w:t>, S</w:t>
      </w:r>
      <w:r w:rsidRPr="00A618F0">
        <w:rPr>
          <w:rFonts w:ascii="Arial" w:hAnsi="Arial" w:cs="Arial"/>
          <w:color w:val="0000FF"/>
          <w:vertAlign w:val="subscript"/>
        </w:rPr>
        <w:t>22</w:t>
      </w:r>
      <w:r w:rsidR="00A618F0">
        <w:rPr>
          <w:rFonts w:ascii="Arial" w:hAnsi="Arial" w:cs="Arial"/>
          <w:color w:val="0000FF"/>
        </w:rPr>
        <w:t>, S</w:t>
      </w:r>
      <w:r w:rsidRPr="00A618F0">
        <w:rPr>
          <w:rFonts w:ascii="Arial" w:hAnsi="Arial" w:cs="Arial"/>
          <w:color w:val="0000FF"/>
          <w:vertAlign w:val="subscript"/>
        </w:rPr>
        <w:t>12</w:t>
      </w:r>
      <w:r w:rsidR="00A618F0">
        <w:rPr>
          <w:rFonts w:ascii="Arial" w:hAnsi="Arial" w:cs="Arial"/>
          <w:color w:val="0000FF"/>
        </w:rPr>
        <w:t>, and S</w:t>
      </w:r>
      <w:r w:rsidRPr="00A618F0">
        <w:rPr>
          <w:rFonts w:ascii="Arial" w:hAnsi="Arial" w:cs="Arial"/>
          <w:color w:val="0000FF"/>
          <w:vertAlign w:val="subscript"/>
        </w:rPr>
        <w:t>21</w:t>
      </w:r>
      <w:r w:rsidRPr="00837C9E">
        <w:rPr>
          <w:rFonts w:ascii="Arial" w:hAnsi="Arial" w:cs="Arial"/>
          <w:color w:val="0000FF"/>
        </w:rPr>
        <w:t>, of the two-port cavity to </w:t>
      </w:r>
      <w:r w:rsidRPr="00837C9E">
        <w:rPr>
          <w:rFonts w:ascii="Arial" w:hAnsi="Arial" w:cs="Arial"/>
          <w:color w:val="0000FF"/>
        </w:rPr>
        <w:br/>
        <w:t>verify the availability of the microwave system. (The probe 1 has weak </w:t>
      </w:r>
      <w:r w:rsidRPr="00837C9E">
        <w:rPr>
          <w:rFonts w:ascii="Arial" w:hAnsi="Arial" w:cs="Arial"/>
          <w:color w:val="0000FF"/>
        </w:rPr>
        <w:br/>
        <w:t>coupling for injecting the synthetic signals and the probe 2 has </w:t>
      </w:r>
      <w:r w:rsidRPr="00837C9E">
        <w:rPr>
          <w:rFonts w:ascii="Arial" w:hAnsi="Arial" w:cs="Arial"/>
          <w:color w:val="0000FF"/>
        </w:rPr>
        <w:br/>
        <w:t>adequate coupling for data taking.)</w:t>
      </w:r>
      <w:r w:rsidR="00637B8D">
        <w:rPr>
          <w:rFonts w:ascii="Arial" w:hAnsi="Arial" w:cs="Arial"/>
          <w:color w:val="0000FF"/>
        </w:rPr>
        <w:t>.</w:t>
      </w:r>
      <w:r w:rsidRPr="00837C9E">
        <w:rPr>
          <w:rFonts w:ascii="Arial" w:hAnsi="Arial" w:cs="Arial"/>
          <w:color w:val="0000FF"/>
        </w:rPr>
        <w:t xml:space="preserve"> We also carried out the noise </w:t>
      </w:r>
      <w:r w:rsidRPr="00837C9E">
        <w:rPr>
          <w:rFonts w:ascii="Arial" w:hAnsi="Arial" w:cs="Arial"/>
          <w:color w:val="0000FF"/>
        </w:rPr>
        <w:br/>
        <w:t>calibration. The microwave system functioned properly and stably and the </w:t>
      </w:r>
      <w:r w:rsidRPr="00837C9E">
        <w:rPr>
          <w:rFonts w:ascii="Arial" w:hAnsi="Arial" w:cs="Arial"/>
          <w:color w:val="0000FF"/>
        </w:rPr>
        <w:br/>
        <w:t>noise performance was decent. We then went into the data taking </w:t>
      </w:r>
      <w:r w:rsidRPr="00837C9E">
        <w:rPr>
          <w:rFonts w:ascii="Arial" w:hAnsi="Arial" w:cs="Arial"/>
          <w:color w:val="0000FF"/>
        </w:rPr>
        <w:br/>
        <w:t xml:space="preserve">straightly. </w:t>
      </w:r>
    </w:p>
    <w:p w14:paraId="42FB1AEB" w14:textId="71DA1B64" w:rsidR="00516D8C" w:rsidRDefault="007854E6" w:rsidP="00E12168">
      <w:pPr>
        <w:ind w:left="720"/>
        <w:rPr>
          <w:rFonts w:ascii="Arial" w:hAnsi="Arial" w:cs="Arial"/>
          <w:color w:val="0000FF"/>
        </w:rPr>
      </w:pPr>
      <w:r>
        <w:rPr>
          <w:rFonts w:ascii="Arial" w:hAnsi="Arial" w:cs="Arial"/>
          <w:color w:val="0000FF"/>
        </w:rPr>
        <w:t>After analyzing the data from the hardware synthetic</w:t>
      </w:r>
      <w:r w:rsidR="00227A2A">
        <w:rPr>
          <w:rFonts w:ascii="Arial" w:hAnsi="Arial" w:cs="Arial"/>
          <w:color w:val="0000FF"/>
        </w:rPr>
        <w:t xml:space="preserve"> axion signals</w:t>
      </w:r>
      <w:r>
        <w:rPr>
          <w:rFonts w:ascii="Arial" w:hAnsi="Arial" w:cs="Arial"/>
          <w:color w:val="0000FF"/>
        </w:rPr>
        <w:t xml:space="preserve">, we also applied the same analysis procedure using simulated axion signals to validate the SNR results. </w:t>
      </w:r>
      <w:r w:rsidR="00E12168">
        <w:rPr>
          <w:rFonts w:ascii="Arial" w:hAnsi="Arial" w:cs="Arial"/>
          <w:color w:val="0000FF"/>
        </w:rPr>
        <w:t>We have modified the original text</w:t>
      </w:r>
    </w:p>
    <w:p w14:paraId="6442D828" w14:textId="77777777" w:rsidR="007854E6" w:rsidRDefault="007854E6" w:rsidP="00E12168">
      <w:pPr>
        <w:ind w:left="720"/>
        <w:rPr>
          <w:rFonts w:ascii="Arial" w:hAnsi="Arial" w:cs="Arial"/>
          <w:color w:val="0000FF"/>
        </w:rPr>
      </w:pPr>
    </w:p>
    <w:p w14:paraId="35007D16" w14:textId="3498C824" w:rsidR="007854E6" w:rsidRPr="007854E6" w:rsidRDefault="007854E6" w:rsidP="007854E6">
      <w:pPr>
        <w:ind w:left="720"/>
        <w:rPr>
          <w:rFonts w:ascii="Arial" w:hAnsi="Arial" w:cs="Arial"/>
          <w:color w:val="008000"/>
          <w:sz w:val="20"/>
          <w:szCs w:val="20"/>
        </w:rPr>
      </w:pPr>
      <w:r w:rsidRPr="007854E6">
        <w:rPr>
          <w:rFonts w:ascii="Arial" w:hAnsi="Arial" w:cs="Arial"/>
          <w:color w:val="008000"/>
          <w:sz w:val="20"/>
          <w:szCs w:val="20"/>
        </w:rPr>
        <w:t xml:space="preserve">After TASEH finished collecting the CD102 data on November 15, 2021, the synthetic axion signals were injected into the cavity and read out via the same trans- mission line and amplification chain. </w:t>
      </w:r>
    </w:p>
    <w:p w14:paraId="461E0157" w14:textId="77777777" w:rsidR="00E12168" w:rsidRPr="007854E6" w:rsidRDefault="00E12168" w:rsidP="00E12168">
      <w:pPr>
        <w:ind w:left="720"/>
        <w:rPr>
          <w:rFonts w:ascii="Arial" w:hAnsi="Arial" w:cs="Arial"/>
          <w:color w:val="008000"/>
          <w:sz w:val="20"/>
          <w:szCs w:val="20"/>
        </w:rPr>
      </w:pPr>
    </w:p>
    <w:p w14:paraId="26F5A5F0" w14:textId="77777777" w:rsidR="007854E6" w:rsidRPr="007854E6" w:rsidRDefault="007854E6" w:rsidP="007854E6">
      <w:pPr>
        <w:ind w:left="720"/>
        <w:rPr>
          <w:rFonts w:ascii="Arial" w:hAnsi="Arial" w:cs="Arial"/>
          <w:color w:val="0000FF"/>
        </w:rPr>
      </w:pPr>
      <w:r w:rsidRPr="007854E6">
        <w:rPr>
          <w:rFonts w:ascii="Arial" w:hAnsi="Arial" w:cs="Arial"/>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w:t>
      </w:r>
      <w:r w:rsidRPr="007854E6">
        <w:rPr>
          <w:rFonts w:ascii="Arial" w:hAnsi="Arial" w:cs="Arial"/>
          <w:color w:val="0000FF"/>
        </w:rPr>
        <w:t xml:space="preserve"> </w:t>
      </w:r>
    </w:p>
    <w:p w14:paraId="736B5084" w14:textId="77777777" w:rsidR="007854E6" w:rsidRDefault="007854E6" w:rsidP="00E12168">
      <w:pPr>
        <w:ind w:left="720"/>
        <w:rPr>
          <w:rFonts w:ascii="Arial" w:hAnsi="Arial" w:cs="Arial"/>
          <w:color w:val="0000FF"/>
        </w:rPr>
      </w:pPr>
    </w:p>
    <w:p w14:paraId="76FCDDEC" w14:textId="77777777" w:rsidR="007854E6" w:rsidRDefault="007854E6" w:rsidP="00E12168">
      <w:pPr>
        <w:ind w:left="720"/>
        <w:rPr>
          <w:rFonts w:ascii="Arial" w:hAnsi="Arial" w:cs="Arial"/>
          <w:color w:val="0000FF"/>
        </w:rPr>
      </w:pPr>
    </w:p>
    <w:p w14:paraId="40A26EA5" w14:textId="456010A8" w:rsidR="00E12168" w:rsidRDefault="00E12168" w:rsidP="00E12168">
      <w:pPr>
        <w:ind w:left="720"/>
        <w:rPr>
          <w:rFonts w:ascii="Arial" w:hAnsi="Arial" w:cs="Arial"/>
        </w:rPr>
      </w:pPr>
      <w:proofErr w:type="gramStart"/>
      <w:r>
        <w:rPr>
          <w:rFonts w:ascii="Arial" w:hAnsi="Arial" w:cs="Arial"/>
          <w:color w:val="0000FF"/>
        </w:rPr>
        <w:t>to</w:t>
      </w:r>
      <w:proofErr w:type="gramEnd"/>
      <w:r>
        <w:rPr>
          <w:rFonts w:ascii="Arial" w:hAnsi="Arial" w:cs="Arial"/>
          <w:color w:val="0000FF"/>
        </w:rPr>
        <w:t xml:space="preserve"> the following text to make it more clear</w:t>
      </w:r>
      <w:r w:rsidR="007854E6">
        <w:rPr>
          <w:rFonts w:ascii="Arial" w:hAnsi="Arial" w:cs="Arial"/>
          <w:color w:val="0000FF"/>
        </w:rPr>
        <w:t>:</w:t>
      </w:r>
    </w:p>
    <w:p w14:paraId="36447114" w14:textId="77777777" w:rsidR="00516D8C" w:rsidRDefault="00516D8C" w:rsidP="00516D8C">
      <w:pPr>
        <w:rPr>
          <w:rFonts w:ascii="Arial" w:hAnsi="Arial" w:cs="Arial"/>
        </w:rPr>
      </w:pPr>
    </w:p>
    <w:p w14:paraId="7B7F86AB" w14:textId="4BD58D8D" w:rsidR="007854E6" w:rsidRPr="007854E6" w:rsidRDefault="007854E6" w:rsidP="007854E6">
      <w:pPr>
        <w:ind w:left="720"/>
        <w:rPr>
          <w:rFonts w:ascii="Arial" w:hAnsi="Arial" w:cs="Arial"/>
          <w:b/>
          <w:color w:val="008000"/>
          <w:sz w:val="20"/>
          <w:szCs w:val="20"/>
        </w:rPr>
      </w:pPr>
      <w:r w:rsidRPr="007854E6">
        <w:rPr>
          <w:rFonts w:ascii="Arial" w:hAnsi="Arial" w:cs="Arial"/>
          <w:b/>
          <w:color w:val="008000"/>
          <w:sz w:val="20"/>
          <w:szCs w:val="20"/>
        </w:rPr>
        <w:t xml:space="preserve">After TASEH finished collecting the CD102 data on November 15, 2021, the synthetic axion signals produced by a vector signal generator (VSG) were injected into the cavity and read out via the same transmission line and amplification chain. </w:t>
      </w:r>
    </w:p>
    <w:p w14:paraId="7AB2DF95" w14:textId="116BE20A" w:rsidR="00516D8C" w:rsidRPr="007854E6" w:rsidRDefault="00516D8C" w:rsidP="00516D8C">
      <w:pPr>
        <w:rPr>
          <w:rFonts w:ascii="Arial" w:hAnsi="Arial" w:cs="Arial"/>
          <w:b/>
          <w:color w:val="008000"/>
          <w:sz w:val="20"/>
          <w:szCs w:val="20"/>
        </w:rPr>
      </w:pPr>
    </w:p>
    <w:p w14:paraId="195AAEF7" w14:textId="7DBD4374" w:rsidR="007854E6" w:rsidRPr="007854E6" w:rsidRDefault="007854E6" w:rsidP="007854E6">
      <w:pPr>
        <w:ind w:left="720"/>
        <w:rPr>
          <w:rFonts w:ascii="Arial" w:hAnsi="Arial" w:cs="Arial"/>
        </w:rPr>
      </w:pPr>
      <w:r w:rsidRPr="007854E6">
        <w:rPr>
          <w:rFonts w:ascii="Arial" w:hAnsi="Arial" w:cs="Arial"/>
          <w:b/>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 from the VSG.</w:t>
      </w:r>
      <w:r w:rsidRPr="007854E6">
        <w:rPr>
          <w:rFonts w:ascii="Arial" w:hAnsi="Arial" w:cs="Arial"/>
        </w:rPr>
        <w:t xml:space="preserve"> </w:t>
      </w:r>
    </w:p>
    <w:p w14:paraId="3B3856BB" w14:textId="5AA44A2A" w:rsidR="00516D8C" w:rsidRDefault="00516D8C" w:rsidP="00516D8C">
      <w:pPr>
        <w:rPr>
          <w:rFonts w:ascii="Arial" w:hAnsi="Arial" w:cs="Arial"/>
        </w:rPr>
      </w:pPr>
    </w:p>
    <w:p w14:paraId="6BBE1555" w14:textId="5A2F2BBA" w:rsidR="007854E6" w:rsidRDefault="007854E6" w:rsidP="00516D8C">
      <w:pPr>
        <w:rPr>
          <w:rFonts w:ascii="Arial" w:hAnsi="Arial" w:cs="Arial"/>
        </w:rPr>
      </w:pPr>
      <w:r>
        <w:rPr>
          <w:rFonts w:ascii="Arial" w:hAnsi="Arial" w:cs="Arial"/>
        </w:rPr>
        <w:tab/>
      </w:r>
    </w:p>
    <w:p w14:paraId="7645432E" w14:textId="77777777" w:rsidR="007854E6" w:rsidRPr="00B17BEF" w:rsidRDefault="007854E6" w:rsidP="00516D8C">
      <w:pPr>
        <w:rPr>
          <w:rFonts w:ascii="Arial" w:hAnsi="Arial" w:cs="Arial"/>
        </w:rPr>
      </w:pPr>
    </w:p>
    <w:p w14:paraId="61776200" w14:textId="77777777" w:rsid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683E1ACA" w14:textId="77777777" w:rsidR="00CD7CC0" w:rsidRDefault="00CD7CC0" w:rsidP="00CD7CC0">
      <w:pPr>
        <w:ind w:left="720"/>
        <w:rPr>
          <w:rFonts w:ascii="Arial" w:hAnsi="Arial" w:cs="Arial"/>
        </w:rPr>
      </w:pPr>
    </w:p>
    <w:p w14:paraId="42FAC0B7" w14:textId="5F76916D" w:rsidR="00CD7CC0" w:rsidRPr="00CD7CC0" w:rsidRDefault="00CD7CC0" w:rsidP="00CD7CC0">
      <w:pPr>
        <w:ind w:left="720"/>
        <w:rPr>
          <w:rFonts w:ascii="Arial" w:hAnsi="Arial" w:cs="Arial"/>
          <w:color w:val="0000FF"/>
        </w:rPr>
      </w:pPr>
      <w:r w:rsidRPr="00CD7CC0">
        <w:rPr>
          <w:rFonts w:ascii="Arial" w:hAnsi="Arial" w:cs="Arial"/>
          <w:color w:val="0000FF"/>
        </w:rPr>
        <w:t xml:space="preserve">We used a vector signal generator to synthesize microwave signals via IQ modulation for the synthetic axion experiment. We miscalculated the effect of a parameter in the </w:t>
      </w:r>
      <w:r w:rsidRPr="00CD7CC0">
        <w:rPr>
          <w:rFonts w:ascii="Arial" w:hAnsi="Arial" w:cs="Arial" w:hint="eastAsia"/>
          <w:color w:val="0000FF"/>
        </w:rPr>
        <w:t>IQ s</w:t>
      </w:r>
      <w:r w:rsidRPr="00CD7CC0">
        <w:rPr>
          <w:rFonts w:ascii="Arial" w:hAnsi="Arial" w:cs="Arial"/>
          <w:color w:val="0000FF"/>
        </w:rPr>
        <w:t>equences on the line</w:t>
      </w:r>
      <w:r>
        <w:rPr>
          <w:rFonts w:ascii="Arial" w:hAnsi="Arial" w:cs="Arial"/>
          <w:color w:val="0000FF"/>
        </w:rPr>
        <w:t xml:space="preserve"> </w:t>
      </w:r>
      <w:r w:rsidRPr="00CD7CC0">
        <w:rPr>
          <w:rFonts w:ascii="Arial" w:hAnsi="Arial" w:cs="Arial"/>
          <w:color w:val="0000FF"/>
        </w:rPr>
        <w:t>shape of the synthetic axion signals, and accidentally generated 8-kHz wide synthetic axion signals for the experiment.</w:t>
      </w:r>
      <w:r>
        <w:rPr>
          <w:rFonts w:ascii="Arial" w:hAnsi="Arial" w:cs="Arial"/>
          <w:color w:val="0000FF"/>
        </w:rPr>
        <w:t xml:space="preserve"> The details of the hardware setup are described in the instrumentation paper Ref [56]. </w:t>
      </w:r>
    </w:p>
    <w:p w14:paraId="32C4CD0A" w14:textId="77777777" w:rsidR="00CD7CC0" w:rsidRPr="00B17BEF" w:rsidRDefault="00CD7CC0" w:rsidP="00CD7CC0">
      <w:pPr>
        <w:ind w:left="720"/>
        <w:rPr>
          <w:rFonts w:ascii="Arial" w:hAnsi="Arial" w:cs="Arial"/>
        </w:rPr>
      </w:pP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3D94F52" w14:textId="77777777" w:rsidR="00CD7CC0" w:rsidRDefault="00CD7CC0" w:rsidP="00E36FB4">
      <w:pPr>
        <w:ind w:left="720"/>
        <w:rPr>
          <w:rFonts w:ascii="Arial" w:hAnsi="Arial" w:cs="Arial"/>
          <w:color w:val="0000FF"/>
        </w:rPr>
      </w:pP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3EC223B0" w14:textId="77777777" w:rsidR="001169F3" w:rsidRDefault="001169F3" w:rsidP="001169F3">
      <w:pPr>
        <w:rPr>
          <w:rFonts w:ascii="Arial" w:hAnsi="Arial" w:cs="Arial"/>
        </w:rPr>
      </w:pPr>
    </w:p>
    <w:p w14:paraId="38DFE889" w14:textId="06C82202" w:rsidR="001169F3" w:rsidRPr="00DC6ADA" w:rsidRDefault="001169F3" w:rsidP="001169F3">
      <w:pPr>
        <w:ind w:left="720"/>
        <w:rPr>
          <w:rFonts w:ascii="Arial" w:hAnsi="Arial" w:cs="Arial"/>
          <w:color w:val="0000FF"/>
        </w:rPr>
      </w:pPr>
      <w:r w:rsidRPr="00DC6ADA">
        <w:rPr>
          <w:rFonts w:ascii="Arial" w:hAnsi="Arial" w:cs="Arial"/>
          <w:color w:val="0000FF"/>
        </w:rPr>
        <w:t xml:space="preserve">Among all the sources of systematic uncertainties, only the 1.8% uncertainty on the limits due to the SG parameters is applied to all frequency bins uniformly. All the other uncertainties are studied by varying the source ±1σ according to the uncertainty on the source and the resulting effects on the </w:t>
      </w:r>
      <w:r w:rsidR="00E60365" w:rsidRPr="00DC6ADA">
        <w:rPr>
          <w:rFonts w:ascii="Arial" w:hAnsi="Arial" w:cs="Arial"/>
          <w:color w:val="0000FF"/>
        </w:rPr>
        <w:t>limits are quoted. The 4.6% is an average relative unc</w:t>
      </w:r>
      <w:r w:rsidR="00DC6ADA" w:rsidRPr="00DC6ADA">
        <w:rPr>
          <w:rFonts w:ascii="Arial" w:hAnsi="Arial" w:cs="Arial"/>
          <w:color w:val="0000FF"/>
        </w:rPr>
        <w:t>ertainty of all frequency bins, ranging from 4.</w:t>
      </w:r>
      <w:r w:rsidR="00DC6ADA">
        <w:rPr>
          <w:rFonts w:ascii="Arial" w:hAnsi="Arial" w:cs="Arial"/>
          <w:color w:val="0000FF"/>
        </w:rPr>
        <w:t xml:space="preserve">4% to 4.8%. The original text </w:t>
      </w:r>
      <w:r w:rsidR="00DC6ADA" w:rsidRPr="00DC6ADA">
        <w:rPr>
          <w:rFonts w:ascii="Arial" w:hAnsi="Arial" w:cs="Arial"/>
          <w:color w:val="0000FF"/>
        </w:rPr>
        <w:t xml:space="preserve"> </w:t>
      </w:r>
    </w:p>
    <w:p w14:paraId="422EF5FB" w14:textId="77777777" w:rsidR="00DC6ADA" w:rsidRDefault="00DC6ADA" w:rsidP="001169F3">
      <w:pPr>
        <w:ind w:left="720"/>
        <w:rPr>
          <w:rFonts w:ascii="Arial" w:hAnsi="Arial" w:cs="Arial"/>
        </w:rPr>
      </w:pPr>
    </w:p>
    <w:p w14:paraId="5D084621" w14:textId="77777777" w:rsidR="00DC6ADA" w:rsidRPr="00DC6ADA" w:rsidRDefault="00DC6ADA" w:rsidP="00DC6ADA">
      <w:pPr>
        <w:ind w:left="720"/>
        <w:rPr>
          <w:rFonts w:ascii="Arial" w:hAnsi="Arial" w:cs="Arial"/>
          <w:color w:val="008000"/>
          <w:sz w:val="20"/>
          <w:szCs w:val="20"/>
        </w:rPr>
      </w:pPr>
      <w:r w:rsidRPr="00DC6ADA">
        <w:rPr>
          <w:rFonts w:ascii="Arial" w:hAnsi="Arial" w:cs="Arial"/>
          <w:color w:val="008000"/>
          <w:sz w:val="20"/>
          <w:szCs w:val="20"/>
        </w:rPr>
        <w:t xml:space="preserve">Overall the total relative systematic uncertainty is ≈ 4.6%. </w:t>
      </w:r>
    </w:p>
    <w:p w14:paraId="660BB884" w14:textId="77777777" w:rsidR="00DC6ADA" w:rsidRDefault="00DC6ADA" w:rsidP="001169F3">
      <w:pPr>
        <w:ind w:left="720"/>
        <w:rPr>
          <w:rFonts w:ascii="Arial" w:hAnsi="Arial" w:cs="Arial"/>
        </w:rPr>
      </w:pPr>
    </w:p>
    <w:p w14:paraId="7A72F7D3" w14:textId="003C3C25" w:rsidR="00DC6ADA" w:rsidRPr="00DC6ADA" w:rsidRDefault="00DC6ADA" w:rsidP="001169F3">
      <w:pPr>
        <w:ind w:left="720"/>
        <w:rPr>
          <w:rFonts w:ascii="Arial" w:hAnsi="Arial" w:cs="Arial"/>
          <w:color w:val="0000FF"/>
        </w:rPr>
      </w:pPr>
      <w:proofErr w:type="gramStart"/>
      <w:r w:rsidRPr="00DC6ADA">
        <w:rPr>
          <w:rFonts w:ascii="Arial" w:hAnsi="Arial" w:cs="Arial"/>
          <w:color w:val="0000FF"/>
        </w:rPr>
        <w:t>is</w:t>
      </w:r>
      <w:proofErr w:type="gramEnd"/>
      <w:r w:rsidRPr="00DC6ADA">
        <w:rPr>
          <w:rFonts w:ascii="Arial" w:hAnsi="Arial" w:cs="Arial"/>
          <w:color w:val="0000FF"/>
        </w:rPr>
        <w:t xml:space="preserve"> now modified to:</w:t>
      </w:r>
    </w:p>
    <w:p w14:paraId="13D57D7F" w14:textId="77777777" w:rsidR="00DC6ADA" w:rsidRDefault="00DC6ADA" w:rsidP="001169F3">
      <w:pPr>
        <w:ind w:left="720"/>
        <w:rPr>
          <w:rFonts w:ascii="Arial" w:hAnsi="Arial" w:cs="Arial"/>
        </w:rPr>
      </w:pPr>
    </w:p>
    <w:p w14:paraId="4D53D091" w14:textId="1E35A6EA" w:rsidR="00DC6ADA" w:rsidRPr="00A811C0" w:rsidRDefault="00DC6ADA" w:rsidP="00DC6ADA">
      <w:pPr>
        <w:ind w:left="720"/>
        <w:rPr>
          <w:rFonts w:ascii="Arial" w:hAnsi="Arial" w:cs="Arial"/>
          <w:b/>
          <w:color w:val="008000"/>
          <w:sz w:val="20"/>
          <w:szCs w:val="20"/>
        </w:rPr>
      </w:pPr>
      <w:r w:rsidRPr="00A811C0">
        <w:rPr>
          <w:rFonts w:ascii="Arial" w:hAnsi="Arial" w:cs="Arial"/>
          <w:b/>
          <w:color w:val="008000"/>
          <w:sz w:val="20"/>
          <w:szCs w:val="20"/>
        </w:rPr>
        <w:t>The ave</w:t>
      </w:r>
      <w:r w:rsidR="00A811C0" w:rsidRPr="00A811C0">
        <w:rPr>
          <w:rFonts w:ascii="Arial" w:hAnsi="Arial" w:cs="Arial"/>
          <w:b/>
          <w:color w:val="008000"/>
          <w:sz w:val="20"/>
          <w:szCs w:val="20"/>
        </w:rPr>
        <w:t>rage of the total relative sys</w:t>
      </w:r>
      <w:r w:rsidRPr="00A811C0">
        <w:rPr>
          <w:rFonts w:ascii="Arial" w:hAnsi="Arial" w:cs="Arial"/>
          <w:b/>
          <w:color w:val="008000"/>
          <w:sz w:val="20"/>
          <w:szCs w:val="20"/>
        </w:rPr>
        <w:t xml:space="preserve">tematic uncertainty from all frequency bins is ≈ 4.6%. </w:t>
      </w:r>
    </w:p>
    <w:p w14:paraId="21DC041A" w14:textId="77777777" w:rsidR="00DC6ADA" w:rsidRDefault="00DC6ADA" w:rsidP="001169F3">
      <w:pPr>
        <w:ind w:left="720"/>
        <w:rPr>
          <w:rFonts w:ascii="Arial" w:hAnsi="Arial" w:cs="Arial"/>
        </w:rPr>
      </w:pPr>
    </w:p>
    <w:p w14:paraId="3F314504" w14:textId="5B5D6299" w:rsidR="005E1EC7" w:rsidRDefault="005E1EC7" w:rsidP="005E1EC7">
      <w:pPr>
        <w:ind w:left="720"/>
        <w:rPr>
          <w:rFonts w:ascii="Arial" w:hAnsi="Arial" w:cs="Arial"/>
          <w:color w:val="0000FF"/>
        </w:rPr>
      </w:pPr>
      <w:r>
        <w:rPr>
          <w:rFonts w:ascii="Arial" w:hAnsi="Arial" w:cs="Arial"/>
          <w:color w:val="0000FF"/>
        </w:rPr>
        <w:t>To make it less confusing, the following lines in the systematic uncertainty section on pages 9 and 10 are modified to:</w:t>
      </w:r>
    </w:p>
    <w:p w14:paraId="0956BC0F" w14:textId="77777777" w:rsidR="005E1EC7" w:rsidRDefault="005E1EC7" w:rsidP="005E1EC7">
      <w:pPr>
        <w:ind w:left="720"/>
        <w:rPr>
          <w:rFonts w:ascii="Arial" w:hAnsi="Arial" w:cs="Arial"/>
          <w:color w:val="0000FF"/>
        </w:rPr>
      </w:pPr>
    </w:p>
    <w:p w14:paraId="62BF4E06" w14:textId="3D0A1D34"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A 3.6% variation of this product results in a 1.9%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limits on average. </w:t>
      </w:r>
    </w:p>
    <w:p w14:paraId="496CFBE6" w14:textId="77777777" w:rsidR="005E1EC7" w:rsidRPr="005E1EC7" w:rsidRDefault="005E1EC7" w:rsidP="005E1EC7">
      <w:pPr>
        <w:ind w:left="720"/>
        <w:rPr>
          <w:rFonts w:ascii="Arial" w:hAnsi="Arial" w:cs="Arial"/>
          <w:b/>
          <w:color w:val="008000"/>
          <w:sz w:val="20"/>
          <w:szCs w:val="20"/>
        </w:rPr>
      </w:pPr>
    </w:p>
    <w:p w14:paraId="076EBDBA" w14:textId="5FAC3468" w:rsidR="005E1EC7" w:rsidRPr="005E1EC7" w:rsidRDefault="005E1EC7" w:rsidP="005E1EC7">
      <w:pPr>
        <w:ind w:left="720"/>
        <w:rPr>
          <w:rFonts w:ascii="Arial" w:hAnsi="Arial" w:cs="Arial"/>
          <w:color w:val="0000FF"/>
        </w:rPr>
      </w:pPr>
      <w:r w:rsidRPr="005E1EC7">
        <w:rPr>
          <w:rFonts w:ascii="Arial" w:hAnsi="Arial" w:cs="Arial"/>
          <w:b/>
          <w:color w:val="008000"/>
          <w:sz w:val="20"/>
          <w:szCs w:val="20"/>
        </w:rPr>
        <w:t>These two uncertainties on T</w:t>
      </w:r>
      <w:r w:rsidRPr="005E1EC7">
        <w:rPr>
          <w:rFonts w:ascii="Arial" w:hAnsi="Arial" w:cs="Arial"/>
          <w:b/>
          <w:color w:val="008000"/>
          <w:sz w:val="20"/>
          <w:szCs w:val="20"/>
          <w:vertAlign w:val="subscript"/>
        </w:rPr>
        <w:t>a</w:t>
      </w:r>
      <w:r w:rsidRPr="005E1EC7">
        <w:rPr>
          <w:rFonts w:ascii="Arial" w:hAnsi="Arial" w:cs="Arial"/>
          <w:b/>
          <w:color w:val="008000"/>
          <w:sz w:val="20"/>
          <w:szCs w:val="20"/>
        </w:rPr>
        <w:t xml:space="preserve"> result in a 2.8%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limits on average.</w:t>
      </w:r>
      <w:r w:rsidRPr="005E1EC7">
        <w:rPr>
          <w:rFonts w:ascii="Arial" w:hAnsi="Arial" w:cs="Arial"/>
          <w:color w:val="0000FF"/>
        </w:rPr>
        <w:t xml:space="preserve"> </w:t>
      </w:r>
    </w:p>
    <w:p w14:paraId="7483DF60" w14:textId="77777777" w:rsidR="005E1EC7" w:rsidRPr="00DC6ADA" w:rsidRDefault="005E1EC7" w:rsidP="005E1EC7">
      <w:pPr>
        <w:ind w:left="720"/>
        <w:rPr>
          <w:rFonts w:ascii="Arial" w:hAnsi="Arial" w:cs="Arial"/>
          <w:color w:val="0000FF"/>
        </w:rPr>
      </w:pPr>
    </w:p>
    <w:p w14:paraId="39359050" w14:textId="7067BECF"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 xml:space="preserve">The comparison shows that </w:t>
      </w:r>
      <w:proofErr w:type="spellStart"/>
      <w:r w:rsidRPr="005E1EC7">
        <w:rPr>
          <w:rFonts w:ascii="Arial" w:hAnsi="Arial" w:cs="Arial"/>
          <w:b/>
          <w:color w:val="008000"/>
          <w:sz w:val="20"/>
          <w:szCs w:val="20"/>
        </w:rPr>
        <w:t>δ</w:t>
      </w:r>
      <w:r w:rsidRPr="005E1EC7">
        <w:rPr>
          <w:rFonts w:ascii="Arial" w:hAnsi="Arial" w:cs="Arial"/>
          <w:b/>
          <w:color w:val="008000"/>
          <w:sz w:val="20"/>
          <w:szCs w:val="20"/>
          <w:vertAlign w:val="subscript"/>
        </w:rPr>
        <w:t>fm</w:t>
      </w:r>
      <w:proofErr w:type="spellEnd"/>
      <w:r w:rsidRPr="005E1EC7">
        <w:rPr>
          <w:rFonts w:ascii="Arial" w:hAnsi="Arial" w:cs="Arial"/>
          <w:b/>
          <w:color w:val="008000"/>
          <w:sz w:val="20"/>
          <w:szCs w:val="20"/>
        </w:rPr>
        <w:t xml:space="preserve"> = 0 gives the largest difference on the limit, which is used as the systematic uncertainty from the misalignment. The average of the uncertainties from all frequency bins is 2.8%.  </w:t>
      </w:r>
    </w:p>
    <w:p w14:paraId="30621E4D" w14:textId="77777777" w:rsidR="005E1EC7" w:rsidRPr="005E1EC7" w:rsidRDefault="005E1EC7" w:rsidP="001169F3">
      <w:pPr>
        <w:ind w:left="720"/>
        <w:rPr>
          <w:rFonts w:ascii="Arial" w:hAnsi="Arial" w:cs="Arial"/>
          <w:b/>
          <w:color w:val="008000"/>
          <w:sz w:val="20"/>
          <w:szCs w:val="20"/>
        </w:rPr>
      </w:pPr>
    </w:p>
    <w:p w14:paraId="1E727614" w14:textId="7EE3A454" w:rsidR="005E1EC7" w:rsidRPr="005E1EC7" w:rsidRDefault="005E1EC7" w:rsidP="005E1EC7">
      <w:pPr>
        <w:ind w:left="720"/>
        <w:rPr>
          <w:rFonts w:ascii="Arial" w:hAnsi="Arial" w:cs="Arial"/>
        </w:rPr>
      </w:pPr>
      <w:proofErr w:type="gramStart"/>
      <w:r w:rsidRPr="005E1EC7">
        <w:rPr>
          <w:rFonts w:ascii="Arial" w:hAnsi="Arial" w:cs="Arial"/>
          <w:b/>
          <w:color w:val="008000"/>
          <w:sz w:val="20"/>
          <w:szCs w:val="20"/>
        </w:rPr>
        <w:t>the</w:t>
      </w:r>
      <w:proofErr w:type="gramEnd"/>
      <w:r w:rsidRPr="005E1EC7">
        <w:rPr>
          <w:rFonts w:ascii="Arial" w:hAnsi="Arial" w:cs="Arial"/>
          <w:b/>
          <w:color w:val="008000"/>
          <w:sz w:val="20"/>
          <w:szCs w:val="20"/>
        </w:rPr>
        <w:t xml:space="preserve"> maximum deviation of 1.8%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 is used, uniformly for all frequency bins, as a conservative estimate of the systematic uncertainty from the SG filter. </w:t>
      </w:r>
    </w:p>
    <w:p w14:paraId="620BF416" w14:textId="77777777" w:rsidR="005E1EC7" w:rsidRDefault="005E1EC7" w:rsidP="001169F3">
      <w:pPr>
        <w:ind w:left="720"/>
        <w:rPr>
          <w:rFonts w:ascii="Arial" w:hAnsi="Arial" w:cs="Arial"/>
        </w:rPr>
      </w:pPr>
    </w:p>
    <w:p w14:paraId="00E8A232" w14:textId="77777777" w:rsidR="001169F3" w:rsidRPr="00B17BEF" w:rsidRDefault="001169F3" w:rsidP="001169F3">
      <w:pPr>
        <w:rPr>
          <w:rFonts w:ascii="Arial" w:hAnsi="Arial" w:cs="Arial"/>
        </w:rPr>
      </w:pP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xml:space="preserve">–  Compare the mean </w:t>
      </w:r>
      <w:proofErr w:type="spellStart"/>
      <w:r w:rsidRPr="00FF3E24">
        <w:rPr>
          <w:rFonts w:ascii="Arial" w:hAnsi="Arial" w:cs="Arial"/>
          <w:color w:val="008000"/>
          <w:sz w:val="20"/>
          <w:szCs w:val="20"/>
        </w:rPr>
        <w:t>μ</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and the width </w:t>
      </w:r>
      <w:proofErr w:type="spellStart"/>
      <w:r w:rsidRPr="00FF3E24">
        <w:rPr>
          <w:rFonts w:ascii="Arial" w:hAnsi="Arial" w:cs="Arial"/>
          <w:color w:val="008000"/>
          <w:sz w:val="20"/>
          <w:szCs w:val="20"/>
        </w:rPr>
        <w:t>σ</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 xml:space="preserve">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4F5D962A" w14:textId="77777777" w:rsidR="00A36471" w:rsidRPr="00A36471" w:rsidRDefault="00112FFF" w:rsidP="00A36471">
      <w:pPr>
        <w:rPr>
          <w:rFonts w:ascii="Arial" w:hAnsi="Arial" w:cs="Arial"/>
          <w:color w:val="FF0000"/>
        </w:rPr>
      </w:pPr>
      <w:r w:rsidRPr="00FF3E24">
        <w:rPr>
          <w:rFonts w:ascii="Arial" w:hAnsi="Arial" w:cs="Arial"/>
          <w:color w:val="FF0000"/>
        </w:rPr>
        <w:t xml:space="preserve"> </w:t>
      </w:r>
      <w:r w:rsidR="00A36471" w:rsidRPr="00A36471">
        <w:rPr>
          <w:rFonts w:ascii="Arial" w:hAnsi="Arial" w:cs="Arial"/>
          <w:color w:val="FF0000"/>
        </w:rPr>
        <w:t>Additional changes</w:t>
      </w:r>
    </w:p>
    <w:p w14:paraId="77DFF184" w14:textId="77777777" w:rsid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added citations to the searches performed by ADMX and CAPP that have a small overlap with our mass window. Instead of quoting the full mass window 19.4687 &lt; ma &lt; 19.8436 </w:t>
      </w:r>
      <w:proofErr w:type="spellStart"/>
      <w:r w:rsidRPr="00A36471">
        <w:rPr>
          <w:rFonts w:ascii="Arial" w:hAnsi="Arial" w:cs="Arial"/>
          <w:color w:val="FF0000"/>
        </w:rPr>
        <w:t>μeV</w:t>
      </w:r>
      <w:proofErr w:type="spellEnd"/>
      <w:r w:rsidRPr="00A36471">
        <w:rPr>
          <w:rFonts w:ascii="Arial" w:hAnsi="Arial" w:cs="Arial"/>
          <w:color w:val="FF0000"/>
        </w:rPr>
        <w:t xml:space="preserve">, now we emphasize that the range 19.4687 &lt; ma &lt; 19.7639 </w:t>
      </w:r>
      <w:proofErr w:type="spellStart"/>
      <w:r w:rsidRPr="00A36471">
        <w:rPr>
          <w:rFonts w:ascii="Arial" w:hAnsi="Arial" w:cs="Arial"/>
          <w:color w:val="FF0000"/>
        </w:rPr>
        <w:t>μeV</w:t>
      </w:r>
      <w:proofErr w:type="spellEnd"/>
      <w:r w:rsidRPr="00A36471">
        <w:rPr>
          <w:rFonts w:ascii="Arial" w:hAnsi="Arial" w:cs="Arial"/>
          <w:color w:val="FF0000"/>
        </w:rPr>
        <w:t xml:space="preserve"> has never been explored by haloscope experiments before. The changes have been applied to </w:t>
      </w:r>
      <w:r>
        <w:rPr>
          <w:rFonts w:ascii="Arial" w:hAnsi="Arial" w:cs="Arial"/>
          <w:color w:val="FF0000"/>
        </w:rPr>
        <w:t xml:space="preserve">the </w:t>
      </w:r>
      <w:r w:rsidRPr="00A36471">
        <w:rPr>
          <w:rFonts w:ascii="Arial" w:hAnsi="Arial" w:cs="Arial"/>
          <w:color w:val="FF0000"/>
        </w:rPr>
        <w:t>main text.</w:t>
      </w:r>
    </w:p>
    <w:p w14:paraId="31B08F7B" w14:textId="77777777" w:rsidR="00A36471" w:rsidRDefault="00A36471" w:rsidP="00A36471">
      <w:pPr>
        <w:ind w:left="1080"/>
        <w:rPr>
          <w:rFonts w:ascii="Arial" w:hAnsi="Arial" w:cs="Arial"/>
          <w:color w:val="FF0000"/>
        </w:rPr>
      </w:pPr>
    </w:p>
    <w:p w14:paraId="1597FADA" w14:textId="22069A63" w:rsidR="00A36471" w:rsidRDefault="00A36471" w:rsidP="00A36471">
      <w:pPr>
        <w:ind w:left="1080"/>
        <w:rPr>
          <w:rFonts w:ascii="Arial" w:hAnsi="Arial" w:cs="Arial"/>
          <w:color w:val="FF0000"/>
        </w:rPr>
      </w:pPr>
      <w:r>
        <w:rPr>
          <w:rFonts w:ascii="Arial" w:hAnsi="Arial" w:cs="Arial"/>
          <w:color w:val="FF0000"/>
        </w:rPr>
        <w:t>On page 1, we added the following text:</w:t>
      </w:r>
    </w:p>
    <w:p w14:paraId="0A0470D1" w14:textId="3ED8BB0A" w:rsid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Using a </w:t>
      </w:r>
      <w:r w:rsidR="005A5C21">
        <w:rPr>
          <w:rFonts w:ascii="Arial" w:hAnsi="Arial" w:cs="Arial"/>
          <w:b/>
          <w:color w:val="008000"/>
          <w:sz w:val="20"/>
          <w:szCs w:val="20"/>
        </w:rPr>
        <w:t xml:space="preserve">“sidecar” cavity and a </w:t>
      </w:r>
      <w:r w:rsidRPr="00A36471">
        <w:rPr>
          <w:rFonts w:ascii="Arial" w:hAnsi="Arial" w:cs="Arial"/>
          <w:b/>
          <w:color w:val="008000"/>
          <w:sz w:val="20"/>
          <w:szCs w:val="20"/>
        </w:rPr>
        <w:t xml:space="preserve">Josephson Traveling Wave Parametric Amplifier, ADMX G2 had recently searched for axions at around 19.84μeV [37]. </w:t>
      </w:r>
    </w:p>
    <w:p w14:paraId="5D7D4184" w14:textId="77777777" w:rsidR="00A36471" w:rsidRPr="00A36471" w:rsidRDefault="00A36471" w:rsidP="00A36471">
      <w:pPr>
        <w:ind w:left="1080"/>
        <w:rPr>
          <w:rFonts w:ascii="Arial" w:hAnsi="Arial" w:cs="Arial"/>
          <w:b/>
          <w:color w:val="008000"/>
          <w:sz w:val="20"/>
          <w:szCs w:val="20"/>
        </w:rPr>
      </w:pPr>
    </w:p>
    <w:p w14:paraId="606BC8E3" w14:textId="78600807" w:rsidR="00A36471" w:rsidRDefault="00A36471" w:rsidP="00A36471">
      <w:pPr>
        <w:ind w:left="1080"/>
        <w:rPr>
          <w:rFonts w:ascii="Arial" w:hAnsi="Arial" w:cs="Arial"/>
          <w:color w:val="FF0000"/>
        </w:rPr>
      </w:pPr>
      <w:r>
        <w:rPr>
          <w:rFonts w:ascii="Arial" w:hAnsi="Arial" w:cs="Arial"/>
          <w:color w:val="FF0000"/>
        </w:rPr>
        <w:t>On page 2, the text is modified to:</w:t>
      </w:r>
    </w:p>
    <w:p w14:paraId="67F522B6" w14:textId="2C881E9E" w:rsidR="00A36471" w:rsidRPr="00A36471" w:rsidRDefault="00A36471" w:rsidP="00A36471">
      <w:pPr>
        <w:ind w:left="1080"/>
        <w:rPr>
          <w:rFonts w:ascii="Arial" w:hAnsi="Arial" w:cs="Arial"/>
          <w:color w:val="FF0000"/>
        </w:rPr>
      </w:pPr>
      <w:r w:rsidRPr="00A36471">
        <w:rPr>
          <w:rFonts w:ascii="Arial" w:hAnsi="Arial" w:cs="Arial"/>
          <w:b/>
          <w:color w:val="008000"/>
          <w:sz w:val="20"/>
          <w:szCs w:val="20"/>
        </w:rPr>
        <w:t xml:space="preserve">The Center for Axion and Precision Physics Research (CAPP) constructed and ran simultaneously several experiments targeting at different frequencies [41–44]; they have pushed the limits towards the KSVZ value within the mass regions of 10.7126– 10.7186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[43] and 19.764–19.890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[44], respectively</w:t>
      </w:r>
      <w:r w:rsidRPr="00A36471">
        <w:rPr>
          <w:rFonts w:ascii="Arial" w:hAnsi="Arial" w:cs="Arial"/>
          <w:color w:val="008000"/>
        </w:rPr>
        <w:t>.</w:t>
      </w:r>
      <w:r w:rsidRPr="00A36471">
        <w:rPr>
          <w:rFonts w:ascii="Arial" w:hAnsi="Arial" w:cs="Arial"/>
          <w:color w:val="FF0000"/>
        </w:rPr>
        <w:t xml:space="preserve"> </w:t>
      </w:r>
    </w:p>
    <w:p w14:paraId="7D0B6092" w14:textId="77777777" w:rsidR="00A36471" w:rsidRDefault="00A36471" w:rsidP="00A36471">
      <w:pPr>
        <w:ind w:left="1080"/>
        <w:rPr>
          <w:rFonts w:ascii="Arial" w:hAnsi="Arial" w:cs="Arial"/>
          <w:color w:val="FF0000"/>
        </w:rPr>
      </w:pPr>
    </w:p>
    <w:p w14:paraId="38D5AD24" w14:textId="5E85E5CD" w:rsidR="00A36471" w:rsidRDefault="00A36471" w:rsidP="00A36471">
      <w:pPr>
        <w:ind w:left="1080"/>
        <w:rPr>
          <w:rFonts w:ascii="Arial" w:hAnsi="Arial" w:cs="Arial"/>
          <w:color w:val="FF0000"/>
        </w:rPr>
      </w:pPr>
      <w:r>
        <w:rPr>
          <w:rFonts w:ascii="Arial" w:hAnsi="Arial" w:cs="Arial"/>
          <w:color w:val="FF0000"/>
        </w:rPr>
        <w:t>On page 11 in the section of Conclusion, the text is modified to:</w:t>
      </w:r>
    </w:p>
    <w:p w14:paraId="6184FACC" w14:textId="77777777" w:rsidR="00A36471" w:rsidRP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It is also the first time that a haloscope-type experiment places constraints in the mass region of 19.4687 &lt; ma &lt; 19.7639μeV. </w:t>
      </w:r>
    </w:p>
    <w:p w14:paraId="6AA1DC1B" w14:textId="77777777" w:rsidR="00A36471" w:rsidRDefault="00A36471" w:rsidP="00A36471">
      <w:pPr>
        <w:ind w:left="1080"/>
        <w:rPr>
          <w:rFonts w:ascii="Arial" w:hAnsi="Arial" w:cs="Arial"/>
          <w:color w:val="FF0000"/>
        </w:rPr>
      </w:pPr>
    </w:p>
    <w:p w14:paraId="652A6044" w14:textId="77777777" w:rsidR="00A36471" w:rsidRDefault="00A36471" w:rsidP="00A36471">
      <w:pPr>
        <w:ind w:left="1080"/>
        <w:rPr>
          <w:rFonts w:ascii="Arial" w:hAnsi="Arial" w:cs="Arial"/>
          <w:color w:val="FF0000"/>
        </w:rPr>
      </w:pPr>
    </w:p>
    <w:p w14:paraId="49EC52A3" w14:textId="027F353F" w:rsidR="00A36471" w:rsidRPr="00A36471" w:rsidRDefault="00A36471" w:rsidP="00A36471">
      <w:pPr>
        <w:ind w:left="1080"/>
        <w:rPr>
          <w:rFonts w:ascii="Arial" w:hAnsi="Arial" w:cs="Arial"/>
          <w:color w:val="FF0000"/>
        </w:rPr>
      </w:pPr>
      <w:r w:rsidRPr="00A36471">
        <w:rPr>
          <w:rFonts w:ascii="Arial" w:hAnsi="Arial" w:cs="Arial"/>
          <w:color w:val="FF0000"/>
        </w:rPr>
        <w:t xml:space="preserve"> </w:t>
      </w:r>
    </w:p>
    <w:p w14:paraId="13A5433E" w14:textId="0A3EDCB6" w:rsidR="00A36471" w:rsidRP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updated the limits and the corresponding text due to an improved calculation of form factors. We noticed recently that in the </w:t>
      </w:r>
      <w:proofErr w:type="spellStart"/>
      <w:r w:rsidRPr="00A36471">
        <w:rPr>
          <w:rFonts w:ascii="Arial" w:hAnsi="Arial" w:cs="Arial"/>
          <w:color w:val="FF0000"/>
        </w:rPr>
        <w:t>Ansys</w:t>
      </w:r>
      <w:proofErr w:type="spellEnd"/>
      <w:r w:rsidRPr="00A36471">
        <w:rPr>
          <w:rFonts w:ascii="Arial" w:hAnsi="Arial" w:cs="Arial"/>
          <w:color w:val="FF0000"/>
        </w:rPr>
        <w:t xml:space="preserve"> HFSS microwave simulation software using the curvilinear mesh option for a model with rounded surfaces gives more accurate results. We redo the simulation for the cavity </w:t>
      </w:r>
      <w:r w:rsidR="003A4566">
        <w:rPr>
          <w:rFonts w:ascii="Arial" w:hAnsi="Arial" w:cs="Arial"/>
          <w:color w:val="FF0000"/>
        </w:rPr>
        <w:t xml:space="preserve">using the curvilinear mesh. The </w:t>
      </w:r>
      <w:r w:rsidRPr="00A36471">
        <w:rPr>
          <w:rFonts w:ascii="Arial" w:hAnsi="Arial" w:cs="Arial"/>
          <w:color w:val="FF0000"/>
        </w:rPr>
        <w:t xml:space="preserve">difference of form factor between the simulated results with the original mesh and with the curvilinear mesh is 3%, which results in a 1.3-1.4% change in the limits. Note the changes do not alter the understanding of the cavity. The limits reported in the text and </w:t>
      </w:r>
      <w:r w:rsidR="001067B4">
        <w:rPr>
          <w:rFonts w:ascii="Arial" w:hAnsi="Arial" w:cs="Arial"/>
          <w:color w:val="FF0000"/>
        </w:rPr>
        <w:t xml:space="preserve">Figs 3, 4, </w:t>
      </w:r>
      <w:r>
        <w:rPr>
          <w:rFonts w:ascii="Arial" w:hAnsi="Arial" w:cs="Arial"/>
          <w:color w:val="FF0000"/>
        </w:rPr>
        <w:t>10 and 11</w:t>
      </w:r>
      <w:r w:rsidRPr="00A36471">
        <w:rPr>
          <w:rFonts w:ascii="Arial" w:hAnsi="Arial" w:cs="Arial"/>
          <w:color w:val="FF0000"/>
        </w:rPr>
        <w:t xml:space="preserve"> have been modified. Note the ADMX-style limit increases rather than decreases because an inconsistent form factor was used in the previous calculations. The new calculations now use the same form factors as those for the central values.  </w:t>
      </w:r>
    </w:p>
    <w:p w14:paraId="7FD5D644" w14:textId="77777777" w:rsidR="00A36471" w:rsidRDefault="00A36471" w:rsidP="00A36471">
      <w:pPr>
        <w:rPr>
          <w:rFonts w:ascii="Arial" w:hAnsi="Arial" w:cs="Arial"/>
          <w:color w:val="FF0000"/>
        </w:rPr>
      </w:pPr>
    </w:p>
    <w:p w14:paraId="7E27B107" w14:textId="7D3AE8E9" w:rsidR="00A36471" w:rsidRDefault="00A36471" w:rsidP="00A36471">
      <w:pPr>
        <w:ind w:left="1080"/>
        <w:rPr>
          <w:rFonts w:ascii="Arial" w:hAnsi="Arial" w:cs="Arial"/>
          <w:color w:val="FF0000"/>
        </w:rPr>
      </w:pPr>
      <w:r>
        <w:rPr>
          <w:rFonts w:ascii="Arial" w:hAnsi="Arial" w:cs="Arial"/>
          <w:color w:val="FF0000"/>
        </w:rPr>
        <w:t>The abstract is modified to:</w:t>
      </w:r>
    </w:p>
    <w:p w14:paraId="02327110" w14:textId="2E56DC3F" w:rsidR="00A36471" w:rsidRPr="00EA4636" w:rsidRDefault="00A36471" w:rsidP="00A36471">
      <w:pPr>
        <w:ind w:left="1080"/>
        <w:rPr>
          <w:rFonts w:ascii="Arial" w:hAnsi="Arial" w:cs="Arial"/>
          <w:b/>
          <w:color w:val="008000"/>
          <w:sz w:val="20"/>
          <w:szCs w:val="20"/>
        </w:rPr>
      </w:pPr>
      <w:r w:rsidRPr="00EA4636">
        <w:rPr>
          <w:rFonts w:ascii="Arial" w:hAnsi="Arial" w:cs="Arial"/>
          <w:b/>
          <w:color w:val="008000"/>
          <w:sz w:val="20"/>
          <w:szCs w:val="20"/>
        </w:rPr>
        <w:t>The analysis of the TASEH CD102 data excludes models with the axion-two-photon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00EA4636" w:rsidRPr="00EA4636">
        <w:rPr>
          <w:rFonts w:ascii="Menlo Bold" w:hAnsi="Menlo Bold" w:cs="Menlo Bold"/>
          <w:b/>
          <w:color w:val="008000"/>
          <w:sz w:val="20"/>
          <w:szCs w:val="20"/>
        </w:rPr>
        <w:t>≳</w:t>
      </w:r>
      <w:r w:rsidRPr="00EA4636">
        <w:rPr>
          <w:rFonts w:ascii="Arial" w:hAnsi="Arial" w:cs="Arial"/>
          <w:b/>
          <w:color w:val="008000"/>
          <w:sz w:val="20"/>
          <w:szCs w:val="20"/>
        </w:rPr>
        <w:t xml:space="preserve"> 8.1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p>
    <w:p w14:paraId="36DBB746" w14:textId="77777777" w:rsidR="00A36471" w:rsidRDefault="00A36471" w:rsidP="00A36471">
      <w:pPr>
        <w:ind w:left="1080"/>
        <w:rPr>
          <w:rFonts w:ascii="Arial" w:hAnsi="Arial" w:cs="Arial"/>
          <w:b/>
          <w:color w:val="FF0000"/>
        </w:rPr>
      </w:pPr>
    </w:p>
    <w:p w14:paraId="2612D20C" w14:textId="109AB328" w:rsidR="00A36471" w:rsidRPr="00EA4636" w:rsidRDefault="00A36471" w:rsidP="00A36471">
      <w:pPr>
        <w:ind w:left="1080"/>
        <w:rPr>
          <w:rFonts w:ascii="Arial" w:hAnsi="Arial" w:cs="Arial"/>
          <w:color w:val="FF0000"/>
        </w:rPr>
      </w:pPr>
      <w:r>
        <w:rPr>
          <w:rFonts w:ascii="Arial" w:hAnsi="Arial" w:cs="Arial"/>
          <w:b/>
          <w:color w:val="FF0000"/>
        </w:rPr>
        <w:t xml:space="preserve"> </w:t>
      </w:r>
      <w:r w:rsidRPr="00EA4636">
        <w:rPr>
          <w:rFonts w:ascii="Arial" w:hAnsi="Arial" w:cs="Arial"/>
          <w:color w:val="FF0000"/>
        </w:rPr>
        <w:t>On page 4 in Table I, the number is changed to:</w:t>
      </w:r>
    </w:p>
    <w:p w14:paraId="6D31887F" w14:textId="3D898184"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C</w:t>
      </w:r>
      <w:r w:rsidRPr="00EA4636">
        <w:rPr>
          <w:rFonts w:ascii="Arial" w:hAnsi="Arial" w:cs="Arial"/>
          <w:b/>
          <w:color w:val="008000"/>
          <w:sz w:val="20"/>
          <w:szCs w:val="20"/>
          <w:vertAlign w:val="subscript"/>
        </w:rPr>
        <w:t>010</w:t>
      </w:r>
      <w:r w:rsidRPr="00EA4636">
        <w:rPr>
          <w:rFonts w:ascii="Arial" w:hAnsi="Arial" w:cs="Arial"/>
          <w:b/>
          <w:color w:val="008000"/>
          <w:sz w:val="20"/>
          <w:szCs w:val="20"/>
        </w:rPr>
        <w:t xml:space="preserve"> </w:t>
      </w:r>
      <w:r w:rsidR="00EA4636" w:rsidRPr="00EA4636">
        <w:rPr>
          <w:rFonts w:ascii="Arial" w:hAnsi="Arial" w:cs="Arial"/>
          <w:b/>
          <w:color w:val="008000"/>
          <w:sz w:val="20"/>
          <w:szCs w:val="20"/>
        </w:rPr>
        <w:t xml:space="preserve">     </w:t>
      </w:r>
      <w:r w:rsidRPr="00EA4636">
        <w:rPr>
          <w:rFonts w:ascii="Arial" w:hAnsi="Arial" w:cs="Arial"/>
          <w:b/>
          <w:color w:val="008000"/>
          <w:sz w:val="20"/>
          <w:szCs w:val="20"/>
        </w:rPr>
        <w:t>0.614-0.630</w:t>
      </w:r>
    </w:p>
    <w:p w14:paraId="5804BC24" w14:textId="77777777" w:rsidR="00A36471" w:rsidRPr="00EA4636" w:rsidRDefault="00A36471" w:rsidP="00A36471">
      <w:pPr>
        <w:ind w:left="1080"/>
        <w:rPr>
          <w:rFonts w:ascii="Arial" w:hAnsi="Arial" w:cs="Arial"/>
          <w:color w:val="FF0000"/>
        </w:rPr>
      </w:pPr>
    </w:p>
    <w:p w14:paraId="48B289A5" w14:textId="6E1227A7" w:rsidR="00A36471" w:rsidRPr="00EA4636" w:rsidRDefault="00A36471" w:rsidP="00A36471">
      <w:pPr>
        <w:ind w:left="1080"/>
        <w:rPr>
          <w:rFonts w:ascii="Arial" w:hAnsi="Arial" w:cs="Arial"/>
          <w:color w:val="FF0000"/>
        </w:rPr>
      </w:pPr>
      <w:r w:rsidRPr="00EA4636">
        <w:rPr>
          <w:rFonts w:ascii="Arial" w:hAnsi="Arial" w:cs="Arial"/>
          <w:color w:val="FF0000"/>
        </w:rPr>
        <w:t xml:space="preserve"> In Section VII Results on page 11, the text is modified to:</w:t>
      </w:r>
    </w:p>
    <w:p w14:paraId="279BE1CB" w14:textId="3450A0CC"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The limits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vertAlign w:val="subscript"/>
        </w:rPr>
        <w:t xml:space="preserve"> </w:t>
      </w:r>
      <w:r w:rsidRPr="00EA4636">
        <w:rPr>
          <w:rFonts w:ascii="Arial" w:hAnsi="Arial" w:cs="Arial"/>
          <w:b/>
          <w:color w:val="008000"/>
          <w:sz w:val="20"/>
          <w:szCs w:val="20"/>
        </w:rPr>
        <w:t>| range from 5.2×10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to 8.7×10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with an average value of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143582E3" w14:textId="77777777" w:rsidR="00A36471" w:rsidRPr="00EA4636" w:rsidRDefault="00A36471" w:rsidP="00A36471">
      <w:pPr>
        <w:ind w:left="1080"/>
        <w:rPr>
          <w:rFonts w:ascii="Arial" w:hAnsi="Arial" w:cs="Arial"/>
          <w:color w:val="FF0000"/>
        </w:rPr>
      </w:pPr>
    </w:p>
    <w:p w14:paraId="24A50B04" w14:textId="23C2FCCC"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results of TASEH exclude</w:t>
      </w:r>
      <w:r w:rsidR="003A4566">
        <w:rPr>
          <w:rFonts w:ascii="Arial" w:hAnsi="Arial" w:cs="Arial"/>
          <w:b/>
          <w:color w:val="008000"/>
          <w:sz w:val="20"/>
          <w:szCs w:val="20"/>
        </w:rPr>
        <w:t xml:space="preserve"> the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 xml:space="preserve">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3EC5E6D0" w14:textId="77777777" w:rsidR="00EA4636" w:rsidRPr="00EA4636" w:rsidRDefault="00EA4636" w:rsidP="00A36471">
      <w:pPr>
        <w:ind w:left="1080"/>
        <w:rPr>
          <w:rFonts w:ascii="Arial" w:hAnsi="Arial" w:cs="Arial"/>
          <w:b/>
          <w:color w:val="008000"/>
          <w:sz w:val="20"/>
          <w:szCs w:val="20"/>
        </w:rPr>
      </w:pPr>
    </w:p>
    <w:p w14:paraId="6E877363" w14:textId="74EB2DBB" w:rsidR="00EA4636" w:rsidRPr="00EA4636" w:rsidRDefault="00EA4636" w:rsidP="00EA4636">
      <w:pPr>
        <w:ind w:left="1080"/>
        <w:rPr>
          <w:rFonts w:ascii="Arial" w:hAnsi="Arial" w:cs="Arial"/>
          <w:color w:val="FF0000"/>
        </w:rPr>
      </w:pPr>
      <w:r w:rsidRPr="00EA4636">
        <w:rPr>
          <w:rFonts w:ascii="Arial" w:hAnsi="Arial" w:cs="Arial"/>
          <w:b/>
          <w:color w:val="008000"/>
          <w:sz w:val="20"/>
          <w:szCs w:val="20"/>
        </w:rPr>
        <w:t>If the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limits are derived from the observed SNR as described in the ADMX paper [58], rather than using the 5σ target SNR, the average limit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will be ≈ 5.1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r w:rsidRPr="00EA4636">
        <w:rPr>
          <w:rFonts w:ascii="Arial" w:hAnsi="Arial" w:cs="Arial"/>
          <w:color w:val="FF0000"/>
        </w:rPr>
        <w:t xml:space="preserve"> </w:t>
      </w:r>
    </w:p>
    <w:p w14:paraId="05E99BFF" w14:textId="49881D57" w:rsidR="00A36471" w:rsidRPr="00EA4636" w:rsidRDefault="00A36471" w:rsidP="00A36471">
      <w:pPr>
        <w:ind w:left="1080"/>
        <w:rPr>
          <w:rFonts w:ascii="Arial" w:hAnsi="Arial" w:cs="Arial"/>
          <w:color w:val="FF0000"/>
        </w:rPr>
      </w:pPr>
    </w:p>
    <w:p w14:paraId="7D465F48" w14:textId="2CFECA15" w:rsidR="00EA4636" w:rsidRPr="00EA4636" w:rsidRDefault="00EA4636" w:rsidP="00A36471">
      <w:pPr>
        <w:ind w:left="1080"/>
        <w:rPr>
          <w:rFonts w:ascii="Arial" w:hAnsi="Arial" w:cs="Arial"/>
          <w:color w:val="FF0000"/>
        </w:rPr>
      </w:pPr>
      <w:r w:rsidRPr="00EA4636">
        <w:rPr>
          <w:rFonts w:ascii="Arial" w:hAnsi="Arial" w:cs="Arial"/>
          <w:color w:val="FF0000"/>
        </w:rPr>
        <w:t>In the conclusion on page 11:</w:t>
      </w:r>
    </w:p>
    <w:p w14:paraId="2CE369CB" w14:textId="7548361D"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experiment excl</w:t>
      </w:r>
      <w:r w:rsidR="003A4566">
        <w:rPr>
          <w:rFonts w:ascii="Arial" w:hAnsi="Arial" w:cs="Arial"/>
          <w:b/>
          <w:color w:val="008000"/>
          <w:sz w:val="20"/>
          <w:szCs w:val="20"/>
        </w:rPr>
        <w:t>udes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at 95% C.L., </w:t>
      </w:r>
    </w:p>
    <w:p w14:paraId="0FC25335" w14:textId="459B5973" w:rsidR="00EA4636" w:rsidRPr="00A36471" w:rsidRDefault="00EA4636" w:rsidP="00A36471">
      <w:pPr>
        <w:ind w:left="1080"/>
        <w:rPr>
          <w:rFonts w:ascii="Arial" w:hAnsi="Arial" w:cs="Arial"/>
          <w:b/>
          <w:color w:val="FF0000"/>
        </w:rPr>
      </w:pPr>
    </w:p>
    <w:p w14:paraId="73256905" w14:textId="77777777" w:rsidR="00A36471" w:rsidRPr="00A36471" w:rsidRDefault="00A36471" w:rsidP="00A36471">
      <w:pPr>
        <w:ind w:left="1080"/>
        <w:rPr>
          <w:rFonts w:ascii="Arial" w:hAnsi="Arial" w:cs="Arial"/>
          <w:b/>
          <w:color w:val="FF0000"/>
        </w:rPr>
      </w:pPr>
    </w:p>
    <w:p w14:paraId="4989DC9F" w14:textId="72D87F5E" w:rsidR="00A36471" w:rsidRPr="00A36471" w:rsidRDefault="00A36471" w:rsidP="00A36471">
      <w:pPr>
        <w:numPr>
          <w:ilvl w:val="0"/>
          <w:numId w:val="2"/>
        </w:numPr>
        <w:rPr>
          <w:rFonts w:ascii="Arial" w:hAnsi="Arial" w:cs="Arial"/>
          <w:color w:val="FF0000"/>
        </w:rPr>
      </w:pPr>
      <w:r w:rsidRPr="00A36471">
        <w:rPr>
          <w:rFonts w:ascii="Arial" w:hAnsi="Arial" w:cs="Arial"/>
          <w:color w:val="FF0000"/>
        </w:rPr>
        <w:t>We have added one more citation [2</w:t>
      </w:r>
      <w:r w:rsidR="00EA4636">
        <w:rPr>
          <w:rFonts w:ascii="Arial" w:hAnsi="Arial" w:cs="Arial"/>
          <w:color w:val="FF0000"/>
        </w:rPr>
        <w:t>3</w:t>
      </w:r>
      <w:r w:rsidRPr="00A36471">
        <w:rPr>
          <w:rFonts w:ascii="Arial" w:hAnsi="Arial" w:cs="Arial"/>
          <w:color w:val="FF0000"/>
        </w:rPr>
        <w:t xml:space="preserve">] to a theory paper by M. </w:t>
      </w:r>
      <w:proofErr w:type="spellStart"/>
      <w:r w:rsidRPr="00A36471">
        <w:rPr>
          <w:rFonts w:ascii="Arial" w:hAnsi="Arial" w:cs="Arial"/>
          <w:color w:val="FF0000"/>
        </w:rPr>
        <w:t>Gorghetto</w:t>
      </w:r>
      <w:proofErr w:type="spellEnd"/>
      <w:r w:rsidRPr="00A36471">
        <w:rPr>
          <w:rFonts w:ascii="Arial" w:hAnsi="Arial" w:cs="Arial"/>
          <w:color w:val="FF0000"/>
        </w:rPr>
        <w:t xml:space="preserve">, E.  Hardy, and G. </w:t>
      </w:r>
      <w:proofErr w:type="spellStart"/>
      <w:r w:rsidRPr="00A36471">
        <w:rPr>
          <w:rFonts w:ascii="Arial" w:hAnsi="Arial" w:cs="Arial"/>
          <w:color w:val="FF0000"/>
        </w:rPr>
        <w:t>Villadoro</w:t>
      </w:r>
      <w:proofErr w:type="spellEnd"/>
      <w:r w:rsidRPr="00A36471">
        <w:rPr>
          <w:rFonts w:ascii="Arial" w:hAnsi="Arial" w:cs="Arial"/>
          <w:color w:val="FF0000"/>
        </w:rPr>
        <w:t>. It is added near the end of the first paragraph on page 1.</w:t>
      </w:r>
    </w:p>
    <w:p w14:paraId="14805B95" w14:textId="77777777" w:rsidR="00A36471" w:rsidRPr="00A36471" w:rsidRDefault="00A36471" w:rsidP="00A36471">
      <w:pPr>
        <w:rPr>
          <w:rFonts w:ascii="Arial" w:hAnsi="Arial" w:cs="Arial"/>
          <w:b/>
          <w:color w:val="FF0000"/>
        </w:rPr>
      </w:pPr>
    </w:p>
    <w:p w14:paraId="171B9136" w14:textId="099E2958"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 xml:space="preserve">In the post-inflationary PQ symmetry breaking scenario, where the PQ symmetry is broken after inflation, cur- rent calculations suggest a mass range of </w:t>
      </w:r>
      <w:proofErr w:type="gramStart"/>
      <w:r w:rsidRPr="00EA4636">
        <w:rPr>
          <w:rFonts w:ascii="Arial" w:hAnsi="Arial" w:cs="Arial"/>
          <w:b/>
          <w:color w:val="008000"/>
          <w:sz w:val="20"/>
          <w:szCs w:val="20"/>
        </w:rPr>
        <w:t>O(</w:t>
      </w:r>
      <w:proofErr w:type="gramEnd"/>
      <w:r w:rsidRPr="00EA4636">
        <w:rPr>
          <w:rFonts w:ascii="Arial" w:hAnsi="Arial" w:cs="Arial"/>
          <w:b/>
          <w:color w:val="008000"/>
          <w:sz w:val="20"/>
          <w:szCs w:val="20"/>
        </w:rPr>
        <w:t>1–100)</w:t>
      </w:r>
      <w:proofErr w:type="spellStart"/>
      <w:r w:rsidRPr="00EA4636">
        <w:rPr>
          <w:rFonts w:ascii="Arial" w:hAnsi="Arial" w:cs="Arial"/>
          <w:b/>
          <w:color w:val="008000"/>
          <w:sz w:val="20"/>
          <w:szCs w:val="20"/>
        </w:rPr>
        <w:t>μeV</w:t>
      </w:r>
      <w:proofErr w:type="spellEnd"/>
      <w:r w:rsidRPr="00EA4636">
        <w:rPr>
          <w:rFonts w:ascii="Arial" w:hAnsi="Arial" w:cs="Arial"/>
          <w:b/>
          <w:color w:val="008000"/>
          <w:sz w:val="20"/>
          <w:szCs w:val="20"/>
        </w:rPr>
        <w:t xml:space="preserve"> for axions so that the cosmic axion density does not exceed the observed cold DM density [10–23]. </w:t>
      </w:r>
    </w:p>
    <w:p w14:paraId="7F6DA6FA" w14:textId="769B209F" w:rsidR="00A36471" w:rsidRPr="00EA4636" w:rsidRDefault="00A36471" w:rsidP="00EA4636">
      <w:pPr>
        <w:ind w:left="1080"/>
        <w:rPr>
          <w:rFonts w:ascii="Arial" w:hAnsi="Arial" w:cs="Arial"/>
          <w:b/>
          <w:color w:val="008000"/>
          <w:sz w:val="20"/>
          <w:szCs w:val="20"/>
        </w:rPr>
      </w:pPr>
    </w:p>
    <w:p w14:paraId="479BFE37" w14:textId="5349492F" w:rsidR="00EA4636" w:rsidRPr="00EA4636" w:rsidRDefault="00EA4636" w:rsidP="00EA4636">
      <w:pPr>
        <w:ind w:left="1060"/>
        <w:rPr>
          <w:rFonts w:ascii="Arial" w:hAnsi="Arial" w:cs="Arial"/>
        </w:rPr>
      </w:pPr>
      <w:r w:rsidRPr="00EA4636">
        <w:rPr>
          <w:rFonts w:ascii="Arial" w:hAnsi="Arial" w:cs="Arial"/>
          <w:b/>
          <w:color w:val="008000"/>
          <w:sz w:val="20"/>
          <w:szCs w:val="20"/>
        </w:rPr>
        <w:t xml:space="preserve">[23] M. </w:t>
      </w:r>
      <w:proofErr w:type="spellStart"/>
      <w:r w:rsidRPr="00EA4636">
        <w:rPr>
          <w:rFonts w:ascii="Arial" w:hAnsi="Arial" w:cs="Arial"/>
          <w:b/>
          <w:color w:val="008000"/>
          <w:sz w:val="20"/>
          <w:szCs w:val="20"/>
        </w:rPr>
        <w:t>Gorghetto</w:t>
      </w:r>
      <w:proofErr w:type="spellEnd"/>
      <w:r w:rsidRPr="00EA4636">
        <w:rPr>
          <w:rFonts w:ascii="Arial" w:hAnsi="Arial" w:cs="Arial"/>
          <w:b/>
          <w:color w:val="008000"/>
          <w:sz w:val="20"/>
          <w:szCs w:val="20"/>
        </w:rPr>
        <w:t xml:space="preserve">, E. Hardy, and G. </w:t>
      </w:r>
      <w:proofErr w:type="spellStart"/>
      <w:r w:rsidRPr="00EA4636">
        <w:rPr>
          <w:rFonts w:ascii="Arial" w:hAnsi="Arial" w:cs="Arial"/>
          <w:b/>
          <w:color w:val="008000"/>
          <w:sz w:val="20"/>
          <w:szCs w:val="20"/>
        </w:rPr>
        <w:t>Villadoro</w:t>
      </w:r>
      <w:proofErr w:type="spellEnd"/>
      <w:r w:rsidRPr="00EA4636">
        <w:rPr>
          <w:rFonts w:ascii="Arial" w:hAnsi="Arial" w:cs="Arial"/>
          <w:b/>
          <w:color w:val="008000"/>
          <w:sz w:val="20"/>
          <w:szCs w:val="20"/>
        </w:rPr>
        <w:t xml:space="preserve">, J. High </w:t>
      </w:r>
      <w:proofErr w:type="spellStart"/>
      <w:r w:rsidRPr="00EA4636">
        <w:rPr>
          <w:rFonts w:ascii="Arial" w:hAnsi="Arial" w:cs="Arial"/>
          <w:b/>
          <w:color w:val="008000"/>
          <w:sz w:val="20"/>
          <w:szCs w:val="20"/>
        </w:rPr>
        <w:t>Energ</w:t>
      </w:r>
      <w:proofErr w:type="spellEnd"/>
      <w:r w:rsidRPr="00EA4636">
        <w:rPr>
          <w:rFonts w:ascii="Arial" w:hAnsi="Arial" w:cs="Arial"/>
          <w:b/>
          <w:color w:val="008000"/>
          <w:sz w:val="20"/>
          <w:szCs w:val="20"/>
        </w:rPr>
        <w:t>. Phys. 07 (2018), 151</w:t>
      </w:r>
      <w:proofErr w:type="gramStart"/>
      <w:r w:rsidRPr="00EA4636">
        <w:rPr>
          <w:rFonts w:ascii="Arial" w:hAnsi="Arial" w:cs="Arial"/>
          <w:b/>
          <w:color w:val="008000"/>
          <w:sz w:val="20"/>
          <w:szCs w:val="20"/>
        </w:rPr>
        <w:t>. </w:t>
      </w:r>
      <w:proofErr w:type="gramEnd"/>
      <w:r>
        <w:rPr>
          <w:rFonts w:ascii="Arial" w:hAnsi="Arial" w:cs="Arial"/>
        </w:rPr>
        <w:tab/>
      </w:r>
    </w:p>
    <w:p w14:paraId="7A566EA0" w14:textId="13A4C23A" w:rsidR="00832A06" w:rsidRPr="00FF3E24" w:rsidRDefault="00832A06" w:rsidP="00FF3E24">
      <w:pPr>
        <w:rPr>
          <w:rFonts w:ascii="Arial" w:hAnsi="Arial" w:cs="Arial"/>
        </w:rPr>
      </w:pP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0B0254B"/>
    <w:multiLevelType w:val="hybridMultilevel"/>
    <w:tmpl w:val="AF328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3769C"/>
    <w:rsid w:val="00037F7D"/>
    <w:rsid w:val="0005467C"/>
    <w:rsid w:val="000B7D2F"/>
    <w:rsid w:val="001067B4"/>
    <w:rsid w:val="00112FFF"/>
    <w:rsid w:val="001169F3"/>
    <w:rsid w:val="00124E65"/>
    <w:rsid w:val="0014596A"/>
    <w:rsid w:val="00147CEE"/>
    <w:rsid w:val="0015715D"/>
    <w:rsid w:val="0017367A"/>
    <w:rsid w:val="00211B36"/>
    <w:rsid w:val="00225EC9"/>
    <w:rsid w:val="00227A2A"/>
    <w:rsid w:val="00252C7B"/>
    <w:rsid w:val="00272DFD"/>
    <w:rsid w:val="00291355"/>
    <w:rsid w:val="002A257F"/>
    <w:rsid w:val="002B331B"/>
    <w:rsid w:val="00330F7E"/>
    <w:rsid w:val="00332AD0"/>
    <w:rsid w:val="00392A0A"/>
    <w:rsid w:val="003A4566"/>
    <w:rsid w:val="003B7B9A"/>
    <w:rsid w:val="003F18D1"/>
    <w:rsid w:val="00403498"/>
    <w:rsid w:val="00474D06"/>
    <w:rsid w:val="004A0253"/>
    <w:rsid w:val="004B6B83"/>
    <w:rsid w:val="004C6EE6"/>
    <w:rsid w:val="004E1CBC"/>
    <w:rsid w:val="004E65E6"/>
    <w:rsid w:val="004F2E40"/>
    <w:rsid w:val="00516D8C"/>
    <w:rsid w:val="00596634"/>
    <w:rsid w:val="005A5C21"/>
    <w:rsid w:val="005B1BA2"/>
    <w:rsid w:val="005D7708"/>
    <w:rsid w:val="005E1EC7"/>
    <w:rsid w:val="005F3B20"/>
    <w:rsid w:val="005F7149"/>
    <w:rsid w:val="00634E9F"/>
    <w:rsid w:val="00637B8D"/>
    <w:rsid w:val="00663E47"/>
    <w:rsid w:val="006C3F6B"/>
    <w:rsid w:val="006C401B"/>
    <w:rsid w:val="006F26E6"/>
    <w:rsid w:val="00763D8B"/>
    <w:rsid w:val="00782080"/>
    <w:rsid w:val="007854E6"/>
    <w:rsid w:val="00785A85"/>
    <w:rsid w:val="007B6BA0"/>
    <w:rsid w:val="007F6702"/>
    <w:rsid w:val="008031D2"/>
    <w:rsid w:val="00807FCD"/>
    <w:rsid w:val="0081515C"/>
    <w:rsid w:val="00832A06"/>
    <w:rsid w:val="00837C9E"/>
    <w:rsid w:val="00845B5E"/>
    <w:rsid w:val="00846918"/>
    <w:rsid w:val="00871A9A"/>
    <w:rsid w:val="00897E4B"/>
    <w:rsid w:val="008B11F3"/>
    <w:rsid w:val="008B3559"/>
    <w:rsid w:val="008D778D"/>
    <w:rsid w:val="00926A82"/>
    <w:rsid w:val="00964AE2"/>
    <w:rsid w:val="009A4A0F"/>
    <w:rsid w:val="009B14A3"/>
    <w:rsid w:val="009C7072"/>
    <w:rsid w:val="009D4CE4"/>
    <w:rsid w:val="00A27BB6"/>
    <w:rsid w:val="00A35356"/>
    <w:rsid w:val="00A36471"/>
    <w:rsid w:val="00A46FDE"/>
    <w:rsid w:val="00A618F0"/>
    <w:rsid w:val="00A67EBB"/>
    <w:rsid w:val="00A811C0"/>
    <w:rsid w:val="00AB15E6"/>
    <w:rsid w:val="00AC050D"/>
    <w:rsid w:val="00AD6C93"/>
    <w:rsid w:val="00B17BEF"/>
    <w:rsid w:val="00B30C98"/>
    <w:rsid w:val="00B34BB6"/>
    <w:rsid w:val="00B43168"/>
    <w:rsid w:val="00B7015D"/>
    <w:rsid w:val="00B82962"/>
    <w:rsid w:val="00BA34AA"/>
    <w:rsid w:val="00BA73C5"/>
    <w:rsid w:val="00BB52DF"/>
    <w:rsid w:val="00BC19FC"/>
    <w:rsid w:val="00BD6408"/>
    <w:rsid w:val="00BE6793"/>
    <w:rsid w:val="00C72A06"/>
    <w:rsid w:val="00CB2B5F"/>
    <w:rsid w:val="00CD6812"/>
    <w:rsid w:val="00CD6A73"/>
    <w:rsid w:val="00CD7CC0"/>
    <w:rsid w:val="00CF70B6"/>
    <w:rsid w:val="00D0349D"/>
    <w:rsid w:val="00D43876"/>
    <w:rsid w:val="00D75115"/>
    <w:rsid w:val="00D86E41"/>
    <w:rsid w:val="00D948CE"/>
    <w:rsid w:val="00DC6ADA"/>
    <w:rsid w:val="00DC7DBE"/>
    <w:rsid w:val="00DF128C"/>
    <w:rsid w:val="00E0207B"/>
    <w:rsid w:val="00E0765A"/>
    <w:rsid w:val="00E12168"/>
    <w:rsid w:val="00E240BB"/>
    <w:rsid w:val="00E36FB4"/>
    <w:rsid w:val="00E60365"/>
    <w:rsid w:val="00E614BA"/>
    <w:rsid w:val="00EA042B"/>
    <w:rsid w:val="00EA4636"/>
    <w:rsid w:val="00EC050F"/>
    <w:rsid w:val="00EE3D63"/>
    <w:rsid w:val="00F02B54"/>
    <w:rsid w:val="00F07336"/>
    <w:rsid w:val="00F354A2"/>
    <w:rsid w:val="00F43F65"/>
    <w:rsid w:val="00F53F0C"/>
    <w:rsid w:val="00F604AD"/>
    <w:rsid w:val="00F7155A"/>
    <w:rsid w:val="00F73575"/>
    <w:rsid w:val="00F8678C"/>
    <w:rsid w:val="00F91BE7"/>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2512">
      <w:bodyDiv w:val="1"/>
      <w:marLeft w:val="0"/>
      <w:marRight w:val="0"/>
      <w:marTop w:val="0"/>
      <w:marBottom w:val="0"/>
      <w:divBdr>
        <w:top w:val="none" w:sz="0" w:space="0" w:color="auto"/>
        <w:left w:val="none" w:sz="0" w:space="0" w:color="auto"/>
        <w:bottom w:val="none" w:sz="0" w:space="0" w:color="auto"/>
        <w:right w:val="none" w:sz="0" w:space="0" w:color="auto"/>
      </w:divBdr>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3031</Words>
  <Characters>17282</Characters>
  <Application>Microsoft Macintosh Word</Application>
  <DocSecurity>0</DocSecurity>
  <Lines>144</Lines>
  <Paragraphs>40</Paragraphs>
  <ScaleCrop>false</ScaleCrop>
  <Company>Department of Physics, National Central University,</Company>
  <LinksUpToDate>false</LinksUpToDate>
  <CharactersWithSpaces>20273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4</cp:revision>
  <cp:lastPrinted>2022-07-23T13:13:00Z</cp:lastPrinted>
  <dcterms:created xsi:type="dcterms:W3CDTF">2022-07-23T13:13:00Z</dcterms:created>
  <dcterms:modified xsi:type="dcterms:W3CDTF">2022-07-23T13:26:00Z</dcterms:modified>
</cp:coreProperties>
</file>