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 w:firstLine="0" w:left="0"/>
        <w:jc w:val="center"/>
        <w:rPr>
          <w:rFonts w:ascii="Cantarell Extra Bold" w:hAnsi="Cantarell Extra Bold" w:cs="Cantarell Extra Bold"/>
          <w:b/>
          <w:bCs/>
          <w:sz w:val="52"/>
          <w:szCs w:val="52"/>
        </w:rPr>
      </w:pPr>
      <w:r>
        <w:rPr>
          <w:rFonts w:ascii="Cantarell Extra Bold" w:hAnsi="Cantarell Extra Bold" w:eastAsia="Cantarell Extra Bold" w:cs="Cantarell Extra Bold"/>
          <w:b/>
          <w:bCs/>
          <w:sz w:val="52"/>
          <w:szCs w:val="52"/>
        </w:rPr>
        <w:t xml:space="preserve">Student Office</w:t>
      </w:r>
      <w:r>
        <w:rPr>
          <w:rFonts w:ascii="Cantarell Extra Bold" w:hAnsi="Cantarell Extra Bold" w:eastAsia="Cantarell Extra Bold" w:cs="Cantarell Extra Bold"/>
          <w:b/>
          <w:bCs/>
          <w:sz w:val="52"/>
          <w:szCs w:val="52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0425" cy="35885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644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210424" cy="3588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9.01pt;height:282.5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Style w:val="633"/>
        <w:numPr>
          <w:ilvl w:val="0"/>
          <w:numId w:val="2"/>
        </w:numPr>
        <w:pBdr/>
        <w:spacing/>
        <w:ind/>
        <w:rPr>
          <w:rFonts w:ascii="Caladea" w:hAnsi="Caladea" w:cs="Caladea"/>
          <w:b/>
          <w:bCs/>
          <w:sz w:val="32"/>
          <w:szCs w:val="32"/>
        </w:rPr>
      </w:pPr>
      <w:r>
        <w:rPr>
          <w:rFonts w:ascii="Caladea" w:hAnsi="Caladea" w:eastAsia="Caladea" w:cs="Caladea"/>
          <w:b/>
          <w:bCs/>
          <w:sz w:val="32"/>
          <w:szCs w:val="32"/>
        </w:rPr>
        <w:t xml:space="preserve">Loyiha yoki kompaniya nomi va tavsifi</w:t>
      </w:r>
      <w:r>
        <w:rPr>
          <w:rFonts w:ascii="Caladea" w:hAnsi="Caladea" w:eastAsia="Caladea" w:cs="Caladea"/>
          <w:b/>
          <w:bCs/>
          <w:sz w:val="32"/>
          <w:szCs w:val="32"/>
        </w:rPr>
      </w:r>
    </w:p>
    <w:p>
      <w:pPr>
        <w:pBdr/>
        <w:spacing/>
        <w:ind/>
        <w:rPr>
          <w:highlight w:val="none"/>
        </w:rPr>
      </w:pPr>
      <w:r/>
      <w:r>
        <w:rPr>
          <w:b/>
          <w:bCs/>
        </w:rPr>
        <w:t xml:space="preserve">Maqsad</w:t>
      </w:r>
      <w:r>
        <w:t xml:space="preserve">: Talabalar uchun murojaatlarni onlayn ko‘rib chiqish tizimini yaratish, muammolariga tezkor yechim berish va jarayonni nazorat qilish.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Kompaniya(jamoa):  </w:t>
      </w:r>
      <w:r>
        <w:rPr>
          <w:b w:val="0"/>
          <w:bCs w:val="0"/>
          <w:highlight w:val="none"/>
        </w:rPr>
      </w:r>
      <w:r>
        <w:t xml:space="preserve">Talabalar uchun IT yechimlar ishlab chiqish, onlayn xizmatlarni raqamlashtirish va universitetlarda xizmat ko‘rsatish jarayonlarini takomillashtirish.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/>
          <w:bCs/>
        </w:rPr>
        <w:t xml:space="preserve">O‘ziga xos stil</w:t>
      </w:r>
      <w:r>
        <w:rPr>
          <w:b/>
          <w:bCs/>
          <w:highlight w:val="none"/>
        </w:rPr>
        <w:t xml:space="preserve">: </w:t>
      </w:r>
      <w:r>
        <w:rPr>
          <w:highlight w:val="none"/>
        </w:rPr>
        <w:t xml:space="preserve"> </w:t>
      </w:r>
      <w:r>
        <w:t xml:space="preserve">Oddiy, qulay va talabalarga moslashtirilgan. Platforma minimalist dizaynga ega bo‘lib, ortiqcha elementlardan qochib, foydalanuvchi uchun eng kerakli funksiyalarni taqdim etadi.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Raqobatchilar</w:t>
      </w:r>
      <w:r>
        <w:rPr>
          <w:b/>
          <w:bCs/>
          <w:highlight w:val="none"/>
        </w:rPr>
        <w:t xml:space="preserve">:  </w:t>
      </w:r>
      <w:r>
        <w:rPr>
          <w:b w:val="0"/>
          <w:bCs w:val="0"/>
          <w:highlight w:val="none"/>
        </w:rPr>
      </w:r>
      <w:r>
        <w:t xml:space="preserve">O‘zbekiston bozorida bizga to‘g‘ridan-to‘g‘ri raqobatchi bo‘lgan xizmatlar hozircha mavjud emas. Ko‘pgina universitetlarda murojaat qilish jarayonlari qog‘ozda yoki an'anaviy elektron pochta orqali amalga oshiriladi. Student Office esa ushbu jarayonni to‘l</w:t>
      </w:r>
      <w:r>
        <w:t xml:space="preserve">iq raqamlashtirib, talabalarning o‘zaro aloqalarini yanada samarali qiladi.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/>
          <w:bCs/>
        </w:rPr>
        <w:t xml:space="preserve">Maqsadli auditoriya</w:t>
      </w:r>
      <w:r>
        <w:rPr>
          <w:b/>
          <w:bCs/>
          <w:highlight w:val="none"/>
        </w:rPr>
        <w:t xml:space="preserve">:  </w:t>
      </w:r>
      <w:r>
        <w:rPr>
          <w:b w:val="0"/>
          <w:bCs w:val="0"/>
          <w:highlight w:val="none"/>
        </w:rPr>
      </w:r>
      <w:r/>
      <w:r>
        <w:t xml:space="preserve">Universitetlar</w:t>
      </w:r>
      <w:r>
        <w:t xml:space="preserve">, </w:t>
      </w:r>
      <w:r>
        <w:rPr>
          <w:b w:val="0"/>
          <w:bCs w:val="0"/>
          <w:highlight w:val="none"/>
        </w:rPr>
        <w:t xml:space="preserve"> </w:t>
      </w:r>
      <w:r>
        <w:t xml:space="preserve">Universitet ma'muriyati va xodimlari</w:t>
      </w:r>
      <w:r>
        <w:rPr>
          <w:b w:val="0"/>
          <w:bCs w:val="0"/>
          <w:highlight w:val="none"/>
        </w:rPr>
        <w:t xml:space="preserve">, </w:t>
      </w:r>
      <w:r>
        <w:t xml:space="preserve">O'qituvchilar</w:t>
      </w:r>
      <w:r>
        <w:rPr>
          <w:b w:val="0"/>
          <w:bCs w:val="0"/>
          <w:highlight w:val="none"/>
        </w:rPr>
        <w:t xml:space="preserve"> va </w:t>
      </w:r>
      <w:r>
        <w:t xml:space="preserve">Talabalar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 w:firstLine="0" w:left="349"/>
        <w:rPr>
          <w:rFonts w:ascii="Caladea" w:hAnsi="Caladea" w:eastAsia="Caladea" w:cs="Caladea"/>
          <w:b/>
          <w:bCs/>
          <w:sz w:val="32"/>
          <w:szCs w:val="32"/>
          <w:highlight w:val="none"/>
        </w:rPr>
      </w:pPr>
      <w:r>
        <w:rPr>
          <w:rFonts w:ascii="Caladea" w:hAnsi="Caladea" w:eastAsia="Caladea" w:cs="Caladea"/>
          <w:b/>
          <w:bCs/>
          <w:sz w:val="32"/>
          <w:szCs w:val="32"/>
        </w:rPr>
        <w:t xml:space="preserve">2. Texnologik bosqich</w:t>
      </w:r>
      <w:r>
        <w:rPr>
          <w:rFonts w:ascii="Caladea" w:hAnsi="Caladea" w:cs="Caladea"/>
          <w:b/>
          <w:bCs/>
          <w:sz w:val="32"/>
          <w:szCs w:val="32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Dasturlash tillari: </w:t>
      </w:r>
      <w:r>
        <w:rPr>
          <w:b w:val="0"/>
          <w:bCs w:val="0"/>
          <w:highlight w:val="none"/>
        </w:rPr>
        <w:t xml:space="preserve">Python, html, css va javascript</w:t>
        <w:br/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Framework: </w:t>
      </w:r>
      <w:r>
        <w:rPr>
          <w:b w:val="0"/>
          <w:bCs w:val="0"/>
          <w:highlight w:val="none"/>
        </w:rPr>
        <w:t xml:space="preserve"> Django, React</w:t>
        <w:br/>
        <w:br/>
      </w:r>
      <w:r>
        <w:rPr>
          <w:b/>
          <w:bCs/>
          <w:highlight w:val="none"/>
        </w:rPr>
        <w:t xml:space="preserve">Xosting talablari: </w:t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14:ligatures w14:val="none"/>
        </w:rPr>
      </w:pPr>
      <w:r>
        <w:rPr>
          <w:b/>
          <w:bCs/>
          <w:highlight w:val="none"/>
        </w:rPr>
        <w:tab/>
      </w:r>
      <w:r>
        <w:rPr>
          <w:b/>
          <w:bCs/>
          <w:sz w:val="18"/>
          <w:szCs w:val="18"/>
        </w:rPr>
        <w:t xml:space="preserve">Domen: </w:t>
      </w:r>
      <w:r>
        <w:rPr>
          <w:b w:val="0"/>
          <w:bCs w:val="0"/>
          <w:sz w:val="18"/>
          <w:szCs w:val="18"/>
        </w:rPr>
      </w:r>
      <w:hyperlink r:id="rId10" w:tooltip="https://student-office.uz" w:history="1">
        <w:r>
          <w:rPr>
            <w:rStyle w:val="186"/>
            <w:b w:val="0"/>
            <w:bCs w:val="0"/>
            <w:sz w:val="18"/>
            <w:szCs w:val="18"/>
          </w:rPr>
          <w:t xml:space="preserve">https://student-office.uz</w:t>
        </w:r>
      </w:hyperlink>
      <w:r>
        <w:rPr>
          <w:b/>
          <w:bCs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/>
        <w:ind w:left="709"/>
        <w:rPr>
          <w:bCs/>
          <w:i/>
          <w:sz w:val="18"/>
          <w:szCs w:val="18"/>
          <w:highlight w:val="none"/>
          <w14:ligatures w14:val="none"/>
        </w:rPr>
      </w:pPr>
      <w:r>
        <w:rPr>
          <w:sz w:val="18"/>
          <w:szCs w:val="18"/>
          <w:highlight w:val="none"/>
        </w:rPr>
      </w:r>
      <w:r>
        <w:rPr>
          <w:b/>
          <w:bCs/>
          <w:sz w:val="18"/>
          <w:szCs w:val="18"/>
        </w:rPr>
        <w:t xml:space="preserve">Server talablari: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Kamida 2 CPU, 4GB RAM va 50GB disk hajmi kerak bo‘ladi.</w:t>
      </w:r>
      <w:r>
        <w:rPr>
          <w:i/>
          <w:iCs/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 w:left="709"/>
        <w:rPr>
          <w:b w:val="0"/>
          <w:bCs w:val="0"/>
          <w:sz w:val="18"/>
          <w:szCs w:val="18"/>
          <w:highlight w:val="none"/>
          <w14:ligatures w14:val="none"/>
        </w:rPr>
      </w:pPr>
      <w:r>
        <w:rPr>
          <w:i/>
          <w:iCs/>
          <w:sz w:val="18"/>
          <w:szCs w:val="18"/>
          <w:highlight w:val="none"/>
        </w:rPr>
      </w:r>
      <w:r>
        <w:rPr>
          <w:b/>
          <w:bCs/>
          <w:sz w:val="18"/>
          <w:szCs w:val="18"/>
        </w:rPr>
        <w:t xml:space="preserve">Ma'lumotlar bazasi:</w:t>
      </w:r>
      <w:r>
        <w:rPr>
          <w:sz w:val="18"/>
          <w:szCs w:val="18"/>
        </w:rPr>
        <w:t xml:space="preserve"> PostgreSQL</w:t>
      </w:r>
      <w:r>
        <w:rPr>
          <w:i/>
          <w:iCs/>
          <w:sz w:val="18"/>
          <w:szCs w:val="18"/>
          <w:highlight w:val="none"/>
        </w:rPr>
      </w:r>
      <w:r>
        <w:rPr>
          <w:i/>
          <w:iCs/>
          <w:sz w:val="18"/>
          <w:szCs w:val="18"/>
          <w:highlight w:val="none"/>
        </w:rPr>
      </w:r>
    </w:p>
    <w:p>
      <w:pPr>
        <w:pBdr/>
        <w:spacing/>
        <w:ind w:left="709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</w:rPr>
        <w:t xml:space="preserve">HTTPS qo‘llab-quvvatlashi kerak</w:t>
        <w:tab/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hd w:val="nil"/>
        <w:spacing/>
        <w:ind/>
        <w:rPr>
          <w:rFonts w:ascii="Caladea" w:hAnsi="Caladea" w:eastAsia="Caladea" w:cs="Caladea"/>
          <w:b/>
          <w:bCs/>
          <w:sz w:val="32"/>
          <w:szCs w:val="32"/>
          <w:highlight w:val="none"/>
        </w:rPr>
      </w:pP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</w:p>
    <w:p>
      <w:pPr>
        <w:pBdr/>
        <w:spacing/>
        <w:ind w:firstLine="0" w:left="349"/>
        <w:rPr>
          <w:rFonts w:ascii="Caladea" w:hAnsi="Caladea" w:eastAsia="Caladea" w:cs="Caladea"/>
          <w:b/>
          <w:bCs/>
          <w:sz w:val="32"/>
          <w:szCs w:val="32"/>
          <w:highlight w:val="none"/>
        </w:rPr>
      </w:pPr>
      <w:r>
        <w:rPr>
          <w:rFonts w:ascii="Caladea" w:hAnsi="Caladea" w:eastAsia="Caladea" w:cs="Caladea"/>
          <w:b/>
          <w:bCs/>
          <w:sz w:val="32"/>
          <w:szCs w:val="32"/>
        </w:rPr>
        <w:t xml:space="preserve">3. Taklif etilayotgan xizmat</w:t>
      </w:r>
      <w:r>
        <w:rPr>
          <w:rFonts w:ascii="Caladea" w:hAnsi="Caladea" w:cs="Caladea"/>
          <w:b/>
          <w:bCs/>
          <w:sz w:val="32"/>
          <w:szCs w:val="32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1. Foydalanuvchi murojaati</w:t>
      </w:r>
      <w:r/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2. Murojaatni qabul qilish</w:t>
      </w:r>
      <w:r/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3. Qayta ishlash jarayoni</w:t>
      </w:r>
      <w:r/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4. Foydalanuvchiga javob berish</w:t>
      </w:r>
      <w:r/>
    </w:p>
    <w:p>
      <w:pPr>
        <w:pBdr/>
        <w:spacing/>
        <w:ind w:left="0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  <w:t xml:space="preserve">5. Statistik kuzatuv</w:t>
      </w:r>
      <w:r/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left="0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firstLine="0" w:left="349"/>
        <w:rPr>
          <w:rFonts w:ascii="Caladea" w:hAnsi="Caladea" w:eastAsia="Caladea" w:cs="Caladea"/>
          <w:b/>
          <w:bCs/>
          <w:sz w:val="32"/>
          <w:szCs w:val="32"/>
          <w:highlight w:val="none"/>
        </w:rPr>
      </w:pPr>
      <w:r>
        <w:rPr>
          <w:rFonts w:ascii="Caladea" w:hAnsi="Caladea" w:eastAsia="Caladea" w:cs="Caladea"/>
          <w:b/>
          <w:bCs/>
          <w:sz w:val="32"/>
          <w:szCs w:val="32"/>
        </w:rPr>
        <w:t xml:space="preserve">4. Sahifalar</w:t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1. Ro‘yxatdan o‘tish va kirish sahifasi</w:t>
      </w:r>
      <w:r/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2. Murojaat jo‘natish sahifasi</w:t>
      </w:r>
      <w:r/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3. Ma'muriyat boshqaruv paneli</w:t>
      </w:r>
      <w:r/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4. Murojaat holatini kuzatish sahifasi</w:t>
      </w:r>
      <w:r/>
    </w:p>
    <w:p>
      <w:pPr>
        <w:pBdr/>
        <w:spacing/>
        <w:ind w:left="0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  <w:t xml:space="preserve">5. Statistik hisobotlar sahifasi</w:t>
      </w:r>
      <w:r/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hd w:val="nil"/>
        <w:spacing/>
        <w:ind/>
        <w:rPr>
          <w:rFonts w:ascii="Caladea" w:hAnsi="Caladea" w:eastAsia="Caladea" w:cs="Caladea"/>
          <w:b/>
          <w:bCs/>
          <w:sz w:val="32"/>
          <w:szCs w:val="32"/>
          <w:highlight w:val="none"/>
        </w:rPr>
      </w:pP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</w:p>
    <w:p>
      <w:pPr>
        <w:pBdr/>
        <w:spacing/>
        <w:ind w:firstLine="0" w:left="349"/>
        <w:rPr>
          <w:rFonts w:ascii="Caladea" w:hAnsi="Caladea" w:eastAsia="Caladea" w:cs="Caladea"/>
          <w:b/>
          <w:bCs/>
          <w:sz w:val="32"/>
          <w:szCs w:val="32"/>
          <w:highlight w:val="none"/>
        </w:rPr>
      </w:pPr>
      <w:r>
        <w:rPr>
          <w:rFonts w:ascii="Caladea" w:hAnsi="Caladea" w:eastAsia="Caladea" w:cs="Caladea"/>
          <w:b/>
          <w:bCs/>
          <w:sz w:val="32"/>
          <w:szCs w:val="32"/>
        </w:rPr>
        <w:t xml:space="preserve">5. Foydalanuvchi ssenariylari</w:t>
        <w:tab/>
        <w:tab/>
        <w:tab/>
        <w:tab/>
        <w:tab/>
        <w:tab/>
        <w:tab/>
        <w:tab/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1. Ro‘yxatdan o‘tish ssenariysi</w:t>
      </w:r>
      <w:r/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2. Kirish ssenariysi</w:t>
      </w:r>
      <w:r/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3. Murojaat jo‘natish ssenariysi</w:t>
      </w:r>
      <w:r/>
    </w:p>
    <w:p>
      <w:pPr>
        <w:pBdr/>
        <w:spacing/>
        <w:ind w:left="0"/>
        <w:rPr/>
      </w:pPr>
      <w:r>
        <w:rPr>
          <w:b/>
          <w:bCs/>
          <w:sz w:val="18"/>
          <w:szCs w:val="18"/>
          <w:highlight w:val="none"/>
        </w:rPr>
        <w:t xml:space="preserve">4. Murojaat holatini kuzatish ssenariysi</w:t>
      </w:r>
      <w:r/>
    </w:p>
    <w:p>
      <w:pPr>
        <w:pBdr/>
        <w:spacing/>
        <w:ind w:left="0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  <w:t xml:space="preserve">5. Administrator murojaatni ko‘rib chiqish ssenariysi</w:t>
      </w:r>
      <w:r/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hd w:val="nil"/>
        <w:spacing/>
        <w:ind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  <w:br w:type="page" w:clear="all"/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firstLine="708" w:left="0"/>
        <w:rPr>
          <w:rFonts w:ascii="Caladea" w:hAnsi="Caladea" w:eastAsia="Caladea" w:cs="Caladea"/>
          <w:b/>
          <w:bCs/>
          <w:sz w:val="32"/>
          <w:szCs w:val="32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</w:rPr>
        <w:t xml:space="preserve">6. Kontent</w:t>
      </w:r>
      <w:r>
        <w:rPr>
          <w:b/>
          <w:bCs/>
          <w:sz w:val="18"/>
          <w:szCs w:val="18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22"/>
          <w:szCs w:val="22"/>
          <w:highlight w:val="none"/>
        </w:rPr>
      </w:r>
      <w:r/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</w:p>
    <w:p>
      <w:pPr>
        <w:pBdr/>
        <w:spacing/>
        <w:ind w:left="0"/>
        <w:rPr/>
      </w:pPr>
      <w:r>
        <w:rPr>
          <w:rFonts w:ascii="Caladea" w:hAnsi="Caladea" w:eastAsia="Caladea" w:cs="Caladea"/>
          <w:b/>
          <w:bCs/>
          <w:sz w:val="22"/>
          <w:szCs w:val="22"/>
          <w:highlight w:val="none"/>
        </w:rPr>
        <w:t xml:space="preserve">1. Matn</w:t>
      </w:r>
      <w:r/>
    </w:p>
    <w:p>
      <w:pPr>
        <w:pBdr/>
        <w:spacing/>
        <w:ind w:left="0"/>
        <w:rPr/>
      </w:pPr>
      <w:r>
        <w:rPr>
          <w:rFonts w:ascii="Caladea" w:hAnsi="Caladea" w:eastAsia="Caladea" w:cs="Caladea"/>
          <w:b/>
          <w:bCs/>
          <w:sz w:val="22"/>
          <w:szCs w:val="22"/>
          <w:highlight w:val="none"/>
        </w:rPr>
        <w:t xml:space="preserve">2. Foto</w:t>
      </w:r>
      <w:r/>
    </w:p>
    <w:p>
      <w:pPr>
        <w:pBdr/>
        <w:spacing/>
        <w:ind w:left="0"/>
        <w:rPr/>
      </w:pPr>
      <w:r>
        <w:rPr>
          <w:rFonts w:ascii="Caladea" w:hAnsi="Caladea" w:eastAsia="Caladea" w:cs="Caladea"/>
          <w:b/>
          <w:bCs/>
          <w:sz w:val="22"/>
          <w:szCs w:val="22"/>
          <w:highlight w:val="none"/>
        </w:rPr>
        <w:t xml:space="preserve">3. Video</w:t>
      </w:r>
      <w:r/>
    </w:p>
    <w:p>
      <w:pPr>
        <w:pBdr/>
        <w:spacing/>
        <w:ind w:left="0"/>
        <w:rPr>
          <w:rFonts w:ascii="Caladea" w:hAnsi="Caladea" w:eastAsia="Caladea" w:cs="Caladea"/>
          <w:b/>
          <w:bCs/>
          <w:sz w:val="22"/>
          <w:szCs w:val="22"/>
          <w:highlight w:val="none"/>
        </w:rPr>
      </w:pPr>
      <w:r>
        <w:rPr>
          <w:rFonts w:ascii="Caladea" w:hAnsi="Caladea" w:eastAsia="Caladea" w:cs="Caladea"/>
          <w:b/>
          <w:bCs/>
          <w:sz w:val="22"/>
          <w:szCs w:val="22"/>
          <w:highlight w:val="none"/>
        </w:rPr>
        <w:t xml:space="preserve">4. Audiofayllar</w:t>
      </w:r>
      <w:r/>
      <w:r>
        <w:rPr>
          <w:rFonts w:ascii="Caladea" w:hAnsi="Caladea" w:eastAsia="Caladea" w:cs="Caladea"/>
          <w:b/>
          <w:bCs/>
          <w:sz w:val="22"/>
          <w:szCs w:val="22"/>
          <w:highlight w:val="none"/>
        </w:rPr>
      </w:r>
      <w:r>
        <w:rPr>
          <w:rFonts w:ascii="Caladea" w:hAnsi="Caladea" w:eastAsia="Caladea" w:cs="Caladea"/>
          <w:b/>
          <w:bCs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709" w:right="850" w:bottom="1134" w:left="1276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Cantarell Extra Bol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student-office.uz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2024-09-20T11:09:03Z</dcterms:modified>
</cp:coreProperties>
</file>