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87"/>
        <w:gridCol w:w="3687"/>
        <w:gridCol w:w="3687"/>
      </w:tblGrid>
      <w:tr>
        <w:trPr>
          <w:trHeight w:hRule="exact" w:val="286"/>
        </w:trPr>
        <w:tc>
          <w:tcPr>
            <w:tcW w:type="dxa" w:w="3818"/>
            <w:tcBorders>
              <w:bottom w:sz="15.9914884567260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Nº 6262 – 7 chaabane 1435 (5-6-2014) </w:t>
            </w:r>
          </w:p>
        </w:tc>
        <w:tc>
          <w:tcPr>
            <w:tcW w:type="dxa" w:w="4740"/>
            <w:tcBorders>
              <w:bottom w:sz="15.9914884567260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2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BULLETIN OFFICIEL </w:t>
            </w:r>
          </w:p>
        </w:tc>
        <w:tc>
          <w:tcPr>
            <w:tcW w:type="dxa" w:w="2418"/>
            <w:tcBorders>
              <w:bottom w:sz="15.9914884567260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20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3473</w:t>
            </w:r>
          </w:p>
        </w:tc>
      </w:tr>
    </w:tbl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530"/>
        <w:gridCol w:w="5530"/>
      </w:tblGrid>
      <w:tr>
        <w:trPr>
          <w:trHeight w:hRule="exact" w:val="14300"/>
        </w:trPr>
        <w:tc>
          <w:tcPr>
            <w:tcW w:type="dxa" w:w="5476"/>
            <w:tcBorders>
              <w:top w:sz="5.341161727905273" w:val="single" w:color="#000000"/>
              <w:end w:sz="7.9957442283630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0" w:after="0"/>
              <w:ind w:left="0" w:right="2492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3</w:t>
            </w:r>
          </w:p>
          <w:p>
            <w:pPr>
              <w:autoSpaceDN w:val="0"/>
              <w:autoSpaceDE w:val="0"/>
              <w:widowControl/>
              <w:spacing w:line="378" w:lineRule="exact" w:before="114" w:after="0"/>
              <w:ind w:left="6" w:right="192" w:firstLine="502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Les différents cycles et filières de formation agrées et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les autres formations qui sont dispensées aux établissements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universitaires relevant des universités visées à l’article premier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ci-dessus continueront à fonctionner jusqu’à l’expiration de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leurs délais, conformément aux textes réglementaires en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vigueur.</w:t>
            </w:r>
          </w:p>
          <w:p>
            <w:pPr>
              <w:autoSpaceDN w:val="0"/>
              <w:autoSpaceDE w:val="0"/>
              <w:widowControl/>
              <w:spacing w:line="226" w:lineRule="exact" w:before="266" w:after="0"/>
              <w:ind w:left="0" w:right="2492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4</w:t>
            </w:r>
          </w:p>
          <w:p>
            <w:pPr>
              <w:autoSpaceDN w:val="0"/>
              <w:autoSpaceDE w:val="0"/>
              <w:widowControl/>
              <w:spacing w:line="378" w:lineRule="exact" w:before="112" w:after="0"/>
              <w:ind w:left="10" w:right="144" w:firstLine="502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Les biens meubles et immeubles en possession de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l’université Mohammed  V - Agdal de Rabat et ceux de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l’université Mohammed V - Souissi de Rabat seront transférés,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à compter du 1</w:t>
            </w:r>
            <w:r>
              <w:rPr>
                <w:w w:val="97.11496035257974"/>
                <w:rFonts w:ascii="TimesNewRomanMTStd" w:hAnsi="TimesNewRomanMTStd" w:eastAsia="TimesNewRomanMTStd"/>
                <w:b w:val="0"/>
                <w:i w:val="0"/>
                <w:color w:val="000000"/>
                <w:sz w:val="12"/>
              </w:rPr>
              <w:t>er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 septembre 2014,  à l’université Mohammed V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 Rabat. Seront également mis à la disposition de 1’université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Mohammed V de Rabat à la date précitée les meubles et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immeubles relevant du domaine privé de l’Etat et dont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disposent à la même date 1’université Mohammed V - Agdal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de Rabat et l’université Mohammed V- Souissi de Rabat.</w:t>
            </w:r>
          </w:p>
          <w:p>
            <w:pPr>
              <w:autoSpaceDN w:val="0"/>
              <w:tabs>
                <w:tab w:pos="20" w:val="left"/>
                <w:tab w:pos="22" w:val="left"/>
                <w:tab w:pos="24" w:val="left"/>
                <w:tab w:pos="530" w:val="left"/>
              </w:tabs>
              <w:autoSpaceDE w:val="0"/>
              <w:widowControl/>
              <w:spacing w:line="378" w:lineRule="exact" w:before="112" w:after="0"/>
              <w:ind w:left="0" w:right="144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Seront transférés à 1’Université Hassan II de Casablanca,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à compter du 1er septembre 2014 les meubles et immeubles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en possession de 1’université Hassan II - Aïn Chock de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Casablanca et ceux de 1’université Hassan II - Mohammedia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 Casablanca à cette date. Les biens meubles et immeubles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relevant du domaine privé de 1’Etat dont disposent à la même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date 1’université Hassan II - Aïn Chock de Casablanca et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1’université Hassan II - Mohammedia de Casablanca seront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également mis à la disposition de 1’université Hassan II de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Casablanca à la date précitée.</w:t>
            </w:r>
          </w:p>
          <w:p>
            <w:pPr>
              <w:autoSpaceDN w:val="0"/>
              <w:autoSpaceDE w:val="0"/>
              <w:widowControl/>
              <w:spacing w:line="226" w:lineRule="exact" w:before="266" w:after="0"/>
              <w:ind w:left="0" w:right="2490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378" w:lineRule="exact" w:before="80" w:after="0"/>
              <w:ind w:left="12" w:right="144" w:firstLine="502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L’université Mohammed V - Agdal de Rabat et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l’université Mohammed V - Souissi de Rabat sont subrogées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par 1’université Mohammed V de Rabat dans leurs droits et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obligations relatifs à tous les marchés de travaux, fournitures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et services ainsi qu’à tous les autres contrats et conventions,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notamment financiers, conclus par les universités précitées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avant la date d’entrée en vigueur de la présente loi, et qui ne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sont pas encore réglés à cette date.</w:t>
            </w:r>
          </w:p>
        </w:tc>
        <w:tc>
          <w:tcPr>
            <w:tcW w:type="dxa" w:w="5474"/>
            <w:tcBorders>
              <w:start w:sz="7.995744228363037" w:val="single" w:color="#000000"/>
              <w:top w:sz="5.341161727905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8" w:after="0"/>
              <w:ind w:left="252" w:right="0" w:firstLine="502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L’Université Mohammed V de Rabat est chargée du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règlement de ces marchés, contrats et conventions, dans les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formes et selon les conditions qui y sont prévues.</w:t>
            </w:r>
          </w:p>
          <w:p>
            <w:pPr>
              <w:autoSpaceDN w:val="0"/>
              <w:autoSpaceDE w:val="0"/>
              <w:widowControl/>
              <w:spacing w:line="226" w:lineRule="exact" w:before="166" w:after="0"/>
              <w:ind w:left="0" w:right="2252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6</w:t>
            </w:r>
          </w:p>
          <w:p>
            <w:pPr>
              <w:autoSpaceDN w:val="0"/>
              <w:autoSpaceDE w:val="0"/>
              <w:widowControl/>
              <w:spacing w:line="278" w:lineRule="exact" w:before="114" w:after="0"/>
              <w:ind w:left="246" w:right="0" w:firstLine="506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L’université Hassan II de Casablanca subroge l’université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Hassan II - Aïn Chock de Casablanca et 1’université Hassan II-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Mohammedia de Casablanca dans leurs droits et obligations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relatifs à tous les marchés de travaux, de fournitures et de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services ainsi qu’à tous les autres contrats et conventions,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notamment financiers conclus par les universités précitées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avant la date d’entrée en vigueur de la présente loi et qui ne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sont pas encore réglés à cette date. L’Université Hassan II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 Casablanca est chargée du règlement desdits marchés,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contrats et conventions, dans les formes et conditions qui y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sont prévues.</w:t>
            </w:r>
          </w:p>
          <w:p>
            <w:pPr>
              <w:autoSpaceDN w:val="0"/>
              <w:autoSpaceDE w:val="0"/>
              <w:widowControl/>
              <w:spacing w:line="226" w:lineRule="exact" w:before="166" w:after="0"/>
              <w:ind w:left="0" w:right="2244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7</w:t>
            </w:r>
          </w:p>
          <w:p>
            <w:pPr>
              <w:autoSpaceDN w:val="0"/>
              <w:autoSpaceDE w:val="0"/>
              <w:widowControl/>
              <w:spacing w:line="278" w:lineRule="exact" w:before="114" w:after="0"/>
              <w:ind w:left="144" w:right="0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A compter de la date d’entrée en vigueur de la présente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loi, les dispositions de 1’article premier du dahir n° 1-75-398 du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10 chaoual 1395 (16 octobre 1975) portant création d’universités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seront modifiées ainsi qu’il suit :</w:t>
            </w:r>
          </w:p>
          <w:p>
            <w:pPr>
              <w:autoSpaceDN w:val="0"/>
              <w:autoSpaceDE w:val="0"/>
              <w:widowControl/>
              <w:spacing w:line="278" w:lineRule="exact" w:before="120" w:after="0"/>
              <w:ind w:left="224" w:right="0" w:firstLine="516"/>
              <w:jc w:val="left"/>
            </w:pPr>
            <w:r>
              <w:rPr>
                <w:rFonts w:ascii="TimesNewRomanMTStd" w:hAnsi="TimesNewRomanMTStd" w:eastAsia="TimesNewRomanMTStd"/>
                <w:b w:val="0"/>
                <w:i/>
                <w:color w:val="000000"/>
                <w:sz w:val="20"/>
              </w:rPr>
              <w:t xml:space="preserve">« Article premier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. –  En application de l’article 4 de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« la loi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n° 01-00 portant organisation de l’enseignement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« supérieur promulguée par le dahir n° 1-00-199 du 15 safar 1421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« (19 mai 2000), seront créées les universités fusionnées visées à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« l’article premier ci-dessus ainsi qu’il suit :</w:t>
            </w:r>
          </w:p>
          <w:p>
            <w:pPr>
              <w:autoSpaceDN w:val="0"/>
              <w:autoSpaceDE w:val="0"/>
              <w:widowControl/>
              <w:spacing w:line="226" w:lineRule="exact" w:before="166" w:after="0"/>
              <w:ind w:left="734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« – Université Mohammed V de Rabat ;</w:t>
            </w:r>
          </w:p>
          <w:p>
            <w:pPr>
              <w:autoSpaceDN w:val="0"/>
              <w:autoSpaceDE w:val="0"/>
              <w:widowControl/>
              <w:spacing w:line="224" w:lineRule="exact" w:before="166" w:after="0"/>
              <w:ind w:left="734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« – Université Hassan II de Casablanca ;</w:t>
            </w:r>
          </w:p>
          <w:p>
            <w:pPr>
              <w:autoSpaceDN w:val="0"/>
              <w:autoSpaceDE w:val="0"/>
              <w:widowControl/>
              <w:spacing w:line="226" w:lineRule="exact" w:before="166" w:after="0"/>
              <w:ind w:left="734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« – Université Sidi Mohammed Ben Abdellah de Fès ;</w:t>
            </w:r>
          </w:p>
          <w:p>
            <w:pPr>
              <w:autoSpaceDN w:val="0"/>
              <w:autoSpaceDE w:val="0"/>
              <w:widowControl/>
              <w:spacing w:line="226" w:lineRule="exact" w:before="166" w:after="0"/>
              <w:ind w:left="1056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........................................................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00" w:lineRule="exact" w:before="196" w:after="0"/>
              <w:ind w:left="125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/>
                <w:color w:val="000000"/>
                <w:sz w:val="20"/>
              </w:rPr>
              <w:t>(Le reste sans changement.)</w:t>
            </w:r>
          </w:p>
          <w:p>
            <w:pPr>
              <w:autoSpaceDN w:val="0"/>
              <w:autoSpaceDE w:val="0"/>
              <w:widowControl/>
              <w:spacing w:line="204" w:lineRule="exact" w:before="292" w:after="0"/>
              <w:ind w:left="248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18"/>
              </w:rPr>
              <w:t xml:space="preserve">Le texte en langue arabe a été publié dans l’édition générale </w:t>
            </w:r>
          </w:p>
          <w:p>
            <w:pPr>
              <w:autoSpaceDN w:val="0"/>
              <w:autoSpaceDE w:val="0"/>
              <w:widowControl/>
              <w:spacing w:line="202" w:lineRule="exact" w:before="76" w:after="0"/>
              <w:ind w:left="422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18"/>
              </w:rPr>
              <w:t>du  « Bulletin officiel » n° 6259 du 26 rejeb 1435 (26 mai 2014).</w:t>
            </w:r>
          </w:p>
          <w:p>
            <w:pPr>
              <w:autoSpaceDN w:val="0"/>
              <w:autoSpaceDE w:val="0"/>
              <w:widowControl/>
              <w:spacing w:line="200" w:lineRule="exact" w:before="478" w:after="0"/>
              <w:ind w:left="252" w:right="0" w:firstLine="0"/>
              <w:jc w:val="left"/>
            </w:pPr>
            <w:r>
              <w:rPr>
                <w:rFonts w:ascii="TimesNewRomanMTStd" w:hAnsi="TimesNewRomanMTStd" w:eastAsia="TimesNewRomanMTStd"/>
                <w:b/>
                <w:i w:val="0"/>
                <w:color w:val="000000"/>
                <w:sz w:val="20"/>
              </w:rPr>
              <w:t xml:space="preserve">Dahir n° 1-14-94  du 12 rejeb 1435 (12 mai 2014) portant </w:t>
            </w:r>
          </w:p>
          <w:p>
            <w:pPr>
              <w:autoSpaceDN w:val="0"/>
              <w:autoSpaceDE w:val="0"/>
              <w:widowControl/>
              <w:spacing w:line="200" w:lineRule="exact" w:before="78" w:after="0"/>
              <w:ind w:left="768" w:right="0" w:firstLine="0"/>
              <w:jc w:val="left"/>
            </w:pPr>
            <w:r>
              <w:rPr>
                <w:rFonts w:ascii="TimesNewRomanMTStd" w:hAnsi="TimesNewRomanMTStd" w:eastAsia="TimesNewRomanMTStd"/>
                <w:b/>
                <w:i w:val="0"/>
                <w:color w:val="000000"/>
                <w:sz w:val="20"/>
              </w:rPr>
              <w:t xml:space="preserve">promulgation de la loi n° 62-12 relative à l’organisation </w:t>
            </w:r>
          </w:p>
          <w:p>
            <w:pPr>
              <w:autoSpaceDN w:val="0"/>
              <w:autoSpaceDE w:val="0"/>
              <w:widowControl/>
              <w:spacing w:line="200" w:lineRule="exact" w:before="78" w:after="0"/>
              <w:ind w:left="766" w:right="0" w:firstLine="0"/>
              <w:jc w:val="left"/>
            </w:pPr>
            <w:r>
              <w:rPr>
                <w:rFonts w:ascii="TimesNewRomanMTStd" w:hAnsi="TimesNewRomanMTStd" w:eastAsia="TimesNewRomanMTStd"/>
                <w:b/>
                <w:i w:val="0"/>
                <w:color w:val="000000"/>
                <w:sz w:val="20"/>
              </w:rPr>
              <w:t>de la profession de conseiller agricole.</w:t>
            </w:r>
          </w:p>
          <w:p>
            <w:pPr>
              <w:autoSpaceDN w:val="0"/>
              <w:autoSpaceDE w:val="0"/>
              <w:widowControl/>
              <w:spacing w:line="226" w:lineRule="exact" w:before="616" w:after="0"/>
              <w:ind w:left="115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LOUANGE A DIEU SEUL !</w:t>
            </w:r>
          </w:p>
          <w:p>
            <w:pPr>
              <w:autoSpaceDN w:val="0"/>
              <w:autoSpaceDE w:val="0"/>
              <w:widowControl/>
              <w:spacing w:line="200" w:lineRule="exact" w:before="194" w:after="0"/>
              <w:ind w:left="74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/>
                <w:color w:val="000000"/>
                <w:sz w:val="20"/>
              </w:rPr>
              <w:t>(Grand Sceau de Sa Majesté Mohammed VI)</w:t>
            </w:r>
          </w:p>
          <w:p>
            <w:pPr>
              <w:autoSpaceDN w:val="0"/>
              <w:tabs>
                <w:tab w:pos="758" w:val="left"/>
              </w:tabs>
              <w:autoSpaceDE w:val="0"/>
              <w:widowControl/>
              <w:spacing w:line="278" w:lineRule="exact" w:before="110" w:after="0"/>
              <w:ind w:left="254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Que l’on sache par les présentes – puisse Dieu en élever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et en fortifier la teneur !</w:t>
            </w:r>
          </w:p>
          <w:p>
            <w:pPr>
              <w:autoSpaceDN w:val="0"/>
              <w:autoSpaceDE w:val="0"/>
              <w:widowControl/>
              <w:spacing w:line="226" w:lineRule="exact" w:before="166" w:after="0"/>
              <w:ind w:left="758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Que Notre Majesté Chérifienne,</w:t>
            </w:r>
          </w:p>
          <w:p>
            <w:pPr>
              <w:autoSpaceDN w:val="0"/>
              <w:autoSpaceDE w:val="0"/>
              <w:widowControl/>
              <w:spacing w:line="226" w:lineRule="exact" w:before="134" w:after="0"/>
              <w:ind w:left="74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Vu la Constitution, notamment ses articles 42 et 50 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568" w:right="378" w:bottom="504" w:left="4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87"/>
        <w:gridCol w:w="3687"/>
        <w:gridCol w:w="3687"/>
      </w:tblGrid>
      <w:tr>
        <w:trPr>
          <w:trHeight w:hRule="exact" w:val="286"/>
        </w:trPr>
        <w:tc>
          <w:tcPr>
            <w:tcW w:type="dxa" w:w="2438"/>
            <w:tcBorders>
              <w:bottom w:sz="15.9914884567260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3474 </w:t>
            </w:r>
          </w:p>
        </w:tc>
        <w:tc>
          <w:tcPr>
            <w:tcW w:type="dxa" w:w="4740"/>
            <w:tcBorders>
              <w:bottom w:sz="15.9914884567260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592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BULLETIN OFFICIEL </w:t>
            </w:r>
          </w:p>
        </w:tc>
        <w:tc>
          <w:tcPr>
            <w:tcW w:type="dxa" w:w="3798"/>
            <w:tcBorders>
              <w:bottom w:sz="15.9914884567260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2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Nº 6262 – 7 chaabane 1435 (5-6-2014)</w:t>
            </w:r>
          </w:p>
        </w:tc>
      </w:tr>
    </w:tbl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530"/>
        <w:gridCol w:w="5530"/>
      </w:tblGrid>
      <w:tr>
        <w:trPr>
          <w:trHeight w:hRule="exact" w:val="14300"/>
        </w:trPr>
        <w:tc>
          <w:tcPr>
            <w:tcW w:type="dxa" w:w="5476"/>
            <w:tcBorders>
              <w:top w:sz="5.341161727905273" w:val="single" w:color="#000000"/>
              <w:end w:sz="7.9957442283630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38" w:after="0"/>
              <w:ind w:left="0" w:right="1812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16"/>
              </w:rPr>
              <w:t>A DÉCIDÉ CE QUI SUIT :</w:t>
            </w:r>
          </w:p>
          <w:p>
            <w:pPr>
              <w:autoSpaceDN w:val="0"/>
              <w:autoSpaceDE w:val="0"/>
              <w:widowControl/>
              <w:spacing w:line="234" w:lineRule="exact" w:before="126" w:after="0"/>
              <w:ind w:left="10" w:right="66" w:firstLine="504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Est promulguée et sera publiée au </w:t>
            </w:r>
            <w:r>
              <w:rPr>
                <w:rFonts w:ascii="TimesNewRomanMTStd" w:hAnsi="TimesNewRomanMTStd" w:eastAsia="TimesNewRomanMTStd"/>
                <w:b w:val="0"/>
                <w:i/>
                <w:color w:val="000000"/>
                <w:sz w:val="20"/>
              </w:rPr>
              <w:t>Bulletin officiel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, à la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suite du présent dahir, la loi n° 62-12 relative à l’organisation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 la profession de conseiller agricole, telle qu’adoptée par la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Chambre des représentants et la Chambre des conseillers.</w:t>
            </w:r>
          </w:p>
          <w:p>
            <w:pPr>
              <w:autoSpaceDN w:val="0"/>
              <w:autoSpaceDE w:val="0"/>
              <w:widowControl/>
              <w:spacing w:line="200" w:lineRule="exact" w:before="154" w:after="0"/>
              <w:ind w:left="0" w:right="66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/>
                <w:color w:val="000000"/>
                <w:sz w:val="20"/>
              </w:rPr>
              <w:t>Fait à Rabat, le 12 rejeb 1435 (12 mai 2014).</w:t>
            </w:r>
          </w:p>
          <w:p>
            <w:pPr>
              <w:autoSpaceDN w:val="0"/>
              <w:autoSpaceDE w:val="0"/>
              <w:widowControl/>
              <w:spacing w:line="224" w:lineRule="exact" w:before="356" w:after="0"/>
              <w:ind w:left="62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Pour contreseing :</w:t>
            </w:r>
          </w:p>
          <w:p>
            <w:pPr>
              <w:autoSpaceDN w:val="0"/>
              <w:autoSpaceDE w:val="0"/>
              <w:widowControl/>
              <w:spacing w:line="200" w:lineRule="exact" w:before="80" w:after="0"/>
              <w:ind w:left="286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/>
                <w:color w:val="000000"/>
                <w:sz w:val="20"/>
              </w:rPr>
              <w:t>Le Chef du gouvernement,</w:t>
            </w:r>
          </w:p>
          <w:p>
            <w:pPr>
              <w:autoSpaceDN w:val="0"/>
              <w:autoSpaceDE w:val="0"/>
              <w:widowControl/>
              <w:spacing w:line="200" w:lineRule="exact" w:before="50" w:after="0"/>
              <w:ind w:left="29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16"/>
              </w:rPr>
              <w:t>BDEL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-I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16"/>
              </w:rPr>
              <w:t>LAH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16"/>
              </w:rPr>
              <w:t>ENKIRAN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20" w:lineRule="exact" w:before="34" w:after="0"/>
              <w:ind w:left="0" w:right="27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*</w:t>
            </w:r>
          </w:p>
          <w:p>
            <w:pPr>
              <w:autoSpaceDN w:val="0"/>
              <w:autoSpaceDE w:val="0"/>
              <w:widowControl/>
              <w:spacing w:line="220" w:lineRule="exact" w:before="238" w:after="0"/>
              <w:ind w:left="0" w:right="26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*   *</w:t>
            </w:r>
          </w:p>
          <w:p>
            <w:pPr>
              <w:autoSpaceDN w:val="0"/>
              <w:autoSpaceDE w:val="0"/>
              <w:widowControl/>
              <w:spacing w:line="200" w:lineRule="exact" w:before="282" w:after="0"/>
              <w:ind w:left="0" w:right="2266" w:firstLine="0"/>
              <w:jc w:val="right"/>
            </w:pPr>
            <w:r>
              <w:rPr>
                <w:rFonts w:ascii="TimesNewRomanMTStd" w:hAnsi="TimesNewRomanMTStd" w:eastAsia="TimesNewRomanMTStd"/>
                <w:b/>
                <w:i w:val="0"/>
                <w:color w:val="000000"/>
                <w:sz w:val="20"/>
              </w:rPr>
              <w:t>Loi n° 62-12</w:t>
            </w:r>
          </w:p>
          <w:p>
            <w:pPr>
              <w:autoSpaceDN w:val="0"/>
              <w:autoSpaceDE w:val="0"/>
              <w:widowControl/>
              <w:spacing w:line="200" w:lineRule="exact" w:before="36" w:after="0"/>
              <w:ind w:left="1036" w:right="0" w:firstLine="0"/>
              <w:jc w:val="left"/>
            </w:pPr>
            <w:r>
              <w:rPr>
                <w:rFonts w:ascii="TimesNewRomanMTStd" w:hAnsi="TimesNewRomanMTStd" w:eastAsia="TimesNewRomanMTStd"/>
                <w:b/>
                <w:i w:val="0"/>
                <w:color w:val="000000"/>
                <w:sz w:val="20"/>
              </w:rPr>
              <w:t>relative à l’organisation de la profession</w:t>
            </w:r>
          </w:p>
          <w:p>
            <w:pPr>
              <w:autoSpaceDN w:val="0"/>
              <w:autoSpaceDE w:val="0"/>
              <w:widowControl/>
              <w:spacing w:line="200" w:lineRule="exact" w:before="36" w:after="0"/>
              <w:ind w:left="0" w:right="1904" w:firstLine="0"/>
              <w:jc w:val="right"/>
            </w:pPr>
            <w:r>
              <w:rPr>
                <w:rFonts w:ascii="TimesNewRomanMTStd" w:hAnsi="TimesNewRomanMTStd" w:eastAsia="TimesNewRomanMTStd"/>
                <w:b/>
                <w:i w:val="0"/>
                <w:color w:val="000000"/>
                <w:sz w:val="20"/>
              </w:rPr>
              <w:t xml:space="preserve"> de conseiller agricole</w:t>
            </w:r>
          </w:p>
          <w:p>
            <w:pPr>
              <w:autoSpaceDN w:val="0"/>
              <w:autoSpaceDE w:val="0"/>
              <w:widowControl/>
              <w:spacing w:line="226" w:lineRule="exact" w:before="468" w:after="0"/>
              <w:ind w:left="0" w:right="2132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premier</w:t>
            </w:r>
          </w:p>
          <w:p>
            <w:pPr>
              <w:autoSpaceDN w:val="0"/>
              <w:autoSpaceDE w:val="0"/>
              <w:widowControl/>
              <w:spacing w:line="236" w:lineRule="exact" w:before="114" w:after="0"/>
              <w:ind w:left="14" w:right="68" w:firstLine="502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La présente loi a pour objet d’organiser l’exercice de la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profession de conseiller agricole, en tant que profession libérale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soumise aux dispositions de la présente loi et de ses textes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d’application.</w:t>
            </w:r>
          </w:p>
          <w:p>
            <w:pPr>
              <w:autoSpaceDN w:val="0"/>
              <w:autoSpaceDE w:val="0"/>
              <w:widowControl/>
              <w:spacing w:line="200" w:lineRule="exact" w:before="154" w:after="0"/>
              <w:ind w:left="0" w:right="2050" w:firstLine="0"/>
              <w:jc w:val="right"/>
            </w:pPr>
            <w:r>
              <w:rPr>
                <w:rFonts w:ascii="TimesNewRomanMTStd" w:hAnsi="TimesNewRomanMTStd" w:eastAsia="TimesNewRomanMTStd"/>
                <w:b/>
                <w:i w:val="0"/>
                <w:color w:val="000000"/>
                <w:sz w:val="20"/>
              </w:rPr>
              <w:t>Chapitre Premier</w:t>
            </w:r>
          </w:p>
          <w:p>
            <w:pPr>
              <w:autoSpaceDN w:val="0"/>
              <w:autoSpaceDE w:val="0"/>
              <w:widowControl/>
              <w:spacing w:line="200" w:lineRule="exact" w:before="148" w:after="0"/>
              <w:ind w:left="0" w:right="1462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/>
                <w:color w:val="000000"/>
                <w:sz w:val="20"/>
              </w:rPr>
              <w:t xml:space="preserve">Missions du conseiller agricole </w:t>
            </w:r>
          </w:p>
          <w:p>
            <w:pPr>
              <w:autoSpaceDN w:val="0"/>
              <w:autoSpaceDE w:val="0"/>
              <w:widowControl/>
              <w:spacing w:line="224" w:lineRule="exact" w:before="122" w:after="0"/>
              <w:ind w:left="0" w:right="2420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2</w:t>
            </w:r>
          </w:p>
          <w:p>
            <w:pPr>
              <w:autoSpaceDN w:val="0"/>
              <w:autoSpaceDE w:val="0"/>
              <w:widowControl/>
              <w:spacing w:line="236" w:lineRule="exact" w:before="114" w:after="0"/>
              <w:ind w:left="6" w:right="0" w:firstLine="508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Sous réserve des missions et attributions dévolues aux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autres professions par la législation et la réglementation en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vigueur, le conseiller agricole a pour mission de prodiguer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 conseil et l’encadrement technique et technologique dans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les domaines de production agricole végétale et animale,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d’utilisation des facteurs de production agricole, d’aménagement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hydro-agricole et foncier, de gestion technique et économique des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exploitations agricoles, de valorisation et de commercialisation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des produits agricoles, d’organisation professionnelle et tous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autres domaines liés à l’activité agricole.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36" w:lineRule="exact" w:before="114" w:after="0"/>
              <w:ind w:left="14" w:right="0" w:firstLine="0"/>
              <w:jc w:val="left"/>
            </w:pP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A cet effet, le conseiller agricole assure les principales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prestations suivantes :</w:t>
            </w:r>
          </w:p>
          <w:p>
            <w:pPr>
              <w:autoSpaceDN w:val="0"/>
              <w:autoSpaceDE w:val="0"/>
              <w:widowControl/>
              <w:spacing w:line="236" w:lineRule="exact" w:before="112" w:after="0"/>
              <w:ind w:left="580" w:right="0" w:hanging="17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– le conseil technique : qui porte sur  l’encadrement,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l’assistance et l’accompagnement des agriculteurs dans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 transfert et la maîtrise des techniques de production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agricole durant les différentes étapes du cycle de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production ;</w:t>
            </w:r>
          </w:p>
          <w:p>
            <w:pPr>
              <w:autoSpaceDN w:val="0"/>
              <w:autoSpaceDE w:val="0"/>
              <w:widowControl/>
              <w:spacing w:line="236" w:lineRule="exact" w:before="114" w:after="0"/>
              <w:ind w:left="580" w:right="62" w:hanging="170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– le conseil d’entreprise agricole : qui porte sur l’appui et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l’accompagnement à l’installation et le développement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desdites entreprises à travers le diagnostic, l’analyse du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fonctionnement de l’exploitation agricole et la proposition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de modèle de développement adéquat ;</w:t>
            </w:r>
          </w:p>
          <w:p>
            <w:pPr>
              <w:autoSpaceDN w:val="0"/>
              <w:autoSpaceDE w:val="0"/>
              <w:widowControl/>
              <w:spacing w:line="236" w:lineRule="exact" w:before="80" w:after="0"/>
              <w:ind w:left="580" w:right="0" w:hanging="17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–</w:t>
            </w:r>
            <w:r>
              <w:rPr>
                <w:w w:val="97.92752265930176"/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 le conseil en matière de projet de développement agricole :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qui porte sur l’animation, l’appui et l’accompagnement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des agriculteurs à moderniser leurs techniques de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production, améliorer les outils de gestion de leurs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exploitations et entreprises agricoles et les aider à</w:t>
            </w:r>
          </w:p>
        </w:tc>
        <w:tc>
          <w:tcPr>
            <w:tcW w:type="dxa" w:w="5474"/>
            <w:tcBorders>
              <w:start w:sz="7.995744228363037" w:val="single" w:color="#000000"/>
              <w:top w:sz="5.341161727905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18" w:after="0"/>
              <w:ind w:left="684" w:right="0" w:hanging="122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 la réalisation des projets de développement agricole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individuels ou collectifs, sur demande de ces derniers,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 l’administration, des organisations professionnelles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ou des autres organismes de droit public ou privé.</w:t>
            </w:r>
          </w:p>
          <w:p>
            <w:pPr>
              <w:autoSpaceDN w:val="0"/>
              <w:autoSpaceDE w:val="0"/>
              <w:widowControl/>
              <w:spacing w:line="200" w:lineRule="exact" w:before="154" w:after="0"/>
              <w:ind w:left="0" w:right="2210" w:firstLine="0"/>
              <w:jc w:val="right"/>
            </w:pPr>
            <w:r>
              <w:rPr>
                <w:rFonts w:ascii="TimesNewRomanMTStd" w:hAnsi="TimesNewRomanMTStd" w:eastAsia="TimesNewRomanMTStd"/>
                <w:b/>
                <w:i w:val="0"/>
                <w:color w:val="000000"/>
                <w:sz w:val="20"/>
              </w:rPr>
              <w:t>Chapitre II</w:t>
            </w:r>
          </w:p>
          <w:p>
            <w:pPr>
              <w:autoSpaceDN w:val="0"/>
              <w:autoSpaceDE w:val="0"/>
              <w:widowControl/>
              <w:spacing w:line="200" w:lineRule="exact" w:before="150" w:after="0"/>
              <w:ind w:left="294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/>
                <w:color w:val="000000"/>
                <w:sz w:val="20"/>
              </w:rPr>
              <w:t>Conditions d’exercice de la profession de conseiller agricole</w:t>
            </w:r>
          </w:p>
          <w:p>
            <w:pPr>
              <w:autoSpaceDN w:val="0"/>
              <w:autoSpaceDE w:val="0"/>
              <w:widowControl/>
              <w:spacing w:line="224" w:lineRule="exact" w:before="122" w:after="0"/>
              <w:ind w:left="0" w:right="2314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3</w:t>
            </w:r>
          </w:p>
          <w:p>
            <w:pPr>
              <w:autoSpaceDN w:val="0"/>
              <w:autoSpaceDE w:val="0"/>
              <w:widowControl/>
              <w:spacing w:line="238" w:lineRule="exact" w:before="112" w:after="0"/>
              <w:ind w:left="96" w:right="0" w:firstLine="502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L’exercice de la profession de conseiller agricole, par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les personnes physiques ou morales, est soumis à l’obtention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préalable d’un agrément délivré par l’administration après avis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 la commission nationale du conseil agricole prévue à l’article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12 ci-dessous.</w:t>
            </w:r>
          </w:p>
          <w:p>
            <w:pPr>
              <w:autoSpaceDN w:val="0"/>
              <w:tabs>
                <w:tab w:pos="622" w:val="left"/>
              </w:tabs>
              <w:autoSpaceDE w:val="0"/>
              <w:widowControl/>
              <w:spacing w:line="236" w:lineRule="exact" w:before="114" w:after="0"/>
              <w:ind w:left="120" w:right="0" w:firstLine="0"/>
              <w:jc w:val="left"/>
            </w:pP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Cet agrément est accordé à titre nominatif et ne peut être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cédé ou transféré à quelque titre que se soit.</w:t>
            </w:r>
          </w:p>
          <w:p>
            <w:pPr>
              <w:autoSpaceDN w:val="0"/>
              <w:autoSpaceDE w:val="0"/>
              <w:widowControl/>
              <w:spacing w:line="236" w:lineRule="exact" w:before="114" w:after="0"/>
              <w:ind w:left="118" w:right="0" w:firstLine="500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L’agrément est délivré pour une période de cinq (5)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ans, renouvelable pour une durée similaire, après avis de la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commission précitée.</w:t>
            </w:r>
          </w:p>
          <w:p>
            <w:pPr>
              <w:autoSpaceDN w:val="0"/>
              <w:autoSpaceDE w:val="0"/>
              <w:widowControl/>
              <w:spacing w:line="238" w:lineRule="exact" w:before="112" w:after="0"/>
              <w:ind w:left="116" w:right="0" w:firstLine="502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Les critères et modalités d’octroi, de renouvellement,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 suspension et de retrait dudit agrément sont fixés par voie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réglementaire.</w:t>
            </w:r>
          </w:p>
          <w:p>
            <w:pPr>
              <w:autoSpaceDN w:val="0"/>
              <w:autoSpaceDE w:val="0"/>
              <w:widowControl/>
              <w:spacing w:line="226" w:lineRule="exact" w:before="124" w:after="0"/>
              <w:ind w:left="0" w:right="2316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4</w:t>
            </w:r>
          </w:p>
          <w:p>
            <w:pPr>
              <w:autoSpaceDN w:val="0"/>
              <w:autoSpaceDE w:val="0"/>
              <w:widowControl/>
              <w:spacing w:line="236" w:lineRule="exact" w:before="114" w:after="0"/>
              <w:ind w:left="116" w:right="0" w:firstLine="508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Pour obtenir l’agrément visé à l’article 3 ci-dessus, les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personnes physiques ou morales doivent remplir les conditions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suivantes :</w:t>
            </w:r>
          </w:p>
          <w:p>
            <w:pPr>
              <w:autoSpaceDN w:val="0"/>
              <w:autoSpaceDE w:val="0"/>
              <w:widowControl/>
              <w:spacing w:line="226" w:lineRule="exact" w:before="124" w:after="0"/>
              <w:ind w:left="606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1. Pour la personne physique : </w:t>
            </w:r>
          </w:p>
          <w:p>
            <w:pPr>
              <w:autoSpaceDN w:val="0"/>
              <w:autoSpaceDE w:val="0"/>
              <w:widowControl/>
              <w:spacing w:line="236" w:lineRule="exact" w:before="588" w:after="0"/>
              <w:ind w:left="684" w:right="0" w:hanging="2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les écoles et les instituts nationaux d’enseignement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agricole supérieur, de formation professionnelle ou </w:t>
            </w:r>
          </w:p>
          <w:p>
            <w:pPr>
              <w:autoSpaceDN w:val="0"/>
              <w:autoSpaceDE w:val="0"/>
              <w:widowControl/>
              <w:spacing w:line="238" w:lineRule="exact" w:before="236" w:after="0"/>
              <w:ind w:left="680" w:right="0" w:firstLine="2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reconnu équivalent qui répond aux exigences requises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par les domaines d’intervention cité à l’article 2 ci-dessus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ou d’un certificat l’habilitant à exercer la profession de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conseiller agricole qui sera fixé par voie réglementaire ;</w:t>
            </w:r>
          </w:p>
          <w:p>
            <w:pPr>
              <w:autoSpaceDN w:val="0"/>
              <w:autoSpaceDE w:val="0"/>
              <w:widowControl/>
              <w:spacing w:line="226" w:lineRule="exact" w:before="362" w:after="0"/>
              <w:ind w:left="682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des faits contraires à l’honneur, à la dignité ou à la probité.</w:t>
            </w:r>
          </w:p>
          <w:p>
            <w:pPr>
              <w:autoSpaceDN w:val="0"/>
              <w:autoSpaceDE w:val="0"/>
              <w:widowControl/>
              <w:spacing w:line="236" w:lineRule="exact" w:before="114" w:after="0"/>
              <w:ind w:left="116" w:right="0" w:firstLine="498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 modèle d’agrément délivré à l’ingénieur en agronomie,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et celui délivré au technicien agricole sont fixés, séparément,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par voie réglementaire.</w:t>
            </w:r>
          </w:p>
          <w:p>
            <w:pPr>
              <w:autoSpaceDN w:val="0"/>
              <w:autoSpaceDE w:val="0"/>
              <w:widowControl/>
              <w:spacing w:line="226" w:lineRule="exact" w:before="124" w:after="0"/>
              <w:ind w:left="618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2. Pour la personne morale : </w:t>
            </w:r>
          </w:p>
          <w:p>
            <w:pPr>
              <w:autoSpaceDN w:val="0"/>
              <w:autoSpaceDE w:val="0"/>
              <w:widowControl/>
              <w:spacing w:line="226" w:lineRule="exact" w:before="362" w:after="0"/>
              <w:ind w:left="684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au Maroc ; </w:t>
            </w:r>
          </w:p>
          <w:p>
            <w:pPr>
              <w:autoSpaceDN w:val="0"/>
              <w:autoSpaceDE w:val="0"/>
              <w:widowControl/>
              <w:spacing w:line="224" w:lineRule="exact" w:before="362" w:after="0"/>
              <w:ind w:left="684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prévues pour la personne physique.</w:t>
            </w:r>
          </w:p>
          <w:p>
            <w:pPr>
              <w:autoSpaceDN w:val="0"/>
              <w:autoSpaceDE w:val="0"/>
              <w:widowControl/>
              <w:spacing w:line="224" w:lineRule="exact" w:before="126" w:after="0"/>
              <w:ind w:left="0" w:right="2314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5</w:t>
            </w:r>
          </w:p>
          <w:p>
            <w:pPr>
              <w:autoSpaceDN w:val="0"/>
              <w:autoSpaceDE w:val="0"/>
              <w:widowControl/>
              <w:spacing w:line="238" w:lineRule="exact" w:before="80" w:after="0"/>
              <w:ind w:left="114" w:right="0" w:firstLine="502"/>
              <w:jc w:val="left"/>
            </w:pPr>
            <w:r>
              <w:rPr>
                <w:w w:val="102.54330886037725"/>
                <w:rFonts w:ascii="TimesNewRomanMTStd" w:hAnsi="TimesNewRomanMTStd" w:eastAsia="TimesNewRomanMTStd"/>
                <w:b w:val="0"/>
                <w:i w:val="0"/>
                <w:color w:val="000000"/>
                <w:sz w:val="19"/>
              </w:rPr>
              <w:t xml:space="preserve">Lorsqu’une des conditions prévues par la présente loi pour la </w:t>
            </w:r>
            <w:r>
              <w:rPr>
                <w:w w:val="102.54330886037725"/>
                <w:rFonts w:ascii="TimesNewRomanMTStd" w:hAnsi="TimesNewRomanMTStd" w:eastAsia="TimesNewRomanMTStd"/>
                <w:b w:val="0"/>
                <w:i w:val="0"/>
                <w:color w:val="000000"/>
                <w:sz w:val="19"/>
              </w:rPr>
              <w:t xml:space="preserve">délivrance d’un agrément cesse d’être satisfaite, celui-ci est suspendu </w:t>
            </w:r>
            <w:r>
              <w:rPr>
                <w:w w:val="102.54330886037725"/>
                <w:rFonts w:ascii="TimesNewRomanMTStd" w:hAnsi="TimesNewRomanMTStd" w:eastAsia="TimesNewRomanMTStd"/>
                <w:b w:val="0"/>
                <w:i w:val="0"/>
                <w:color w:val="000000"/>
                <w:sz w:val="19"/>
              </w:rPr>
              <w:t xml:space="preserve">pour une période n’excédant pas six (6) mois pendant laquelle, le </w:t>
            </w:r>
            <w:r>
              <w:rPr>
                <w:w w:val="102.54330886037725"/>
                <w:rFonts w:ascii="TimesNewRomanMTStd" w:hAnsi="TimesNewRomanMTStd" w:eastAsia="TimesNewRomanMTStd"/>
                <w:b w:val="0"/>
                <w:i w:val="0"/>
                <w:color w:val="000000"/>
                <w:sz w:val="19"/>
              </w:rPr>
              <w:t xml:space="preserve">bénéficiaire de l’agrément est tenu de régulariser sa situation. Passé </w:t>
            </w:r>
            <w:r>
              <w:rPr>
                <w:w w:val="102.54330886037725"/>
                <w:rFonts w:ascii="TimesNewRomanMTStd" w:hAnsi="TimesNewRomanMTStd" w:eastAsia="TimesNewRomanMTStd"/>
                <w:b w:val="0"/>
                <w:i w:val="0"/>
                <w:color w:val="000000"/>
                <w:sz w:val="19"/>
              </w:rPr>
              <w:t xml:space="preserve">ce délai sans que la régularisation soit faite, l’agrément est retiré. </w:t>
            </w:r>
            <w:r>
              <w:rPr>
                <w:w w:val="102.54330886037725"/>
                <w:rFonts w:ascii="TimesNewRomanMTStd" w:hAnsi="TimesNewRomanMTStd" w:eastAsia="TimesNewRomanMTStd"/>
                <w:b w:val="0"/>
                <w:i w:val="0"/>
                <w:color w:val="000000"/>
                <w:sz w:val="19"/>
              </w:rPr>
              <w:t>Dans le cas contraire, il est mis fin à la suspension.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568" w:right="378" w:bottom="506" w:left="4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87"/>
        <w:gridCol w:w="3687"/>
        <w:gridCol w:w="3687"/>
      </w:tblGrid>
      <w:tr>
        <w:trPr>
          <w:trHeight w:hRule="exact" w:val="286"/>
        </w:trPr>
        <w:tc>
          <w:tcPr>
            <w:tcW w:type="dxa" w:w="3818"/>
            <w:tcBorders>
              <w:bottom w:sz="15.9914884567260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Nº 6262 – 7 chaabane 1435 (5-6-2014) </w:t>
            </w:r>
          </w:p>
        </w:tc>
        <w:tc>
          <w:tcPr>
            <w:tcW w:type="dxa" w:w="4760"/>
            <w:tcBorders>
              <w:bottom w:sz="15.9914884567260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62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BULLETIN OFFICIEL </w:t>
            </w:r>
          </w:p>
        </w:tc>
        <w:tc>
          <w:tcPr>
            <w:tcW w:type="dxa" w:w="2398"/>
            <w:tcBorders>
              <w:bottom w:sz="15.9914884567260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20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3475</w:t>
            </w:r>
          </w:p>
        </w:tc>
      </w:tr>
    </w:tbl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5530"/>
        <w:gridCol w:w="5530"/>
      </w:tblGrid>
      <w:tr>
        <w:trPr>
          <w:trHeight w:hRule="exact" w:val="14300"/>
        </w:trPr>
        <w:tc>
          <w:tcPr>
            <w:tcW w:type="dxa" w:w="5476"/>
            <w:tcBorders>
              <w:top w:sz="5.341161727905273" w:val="single" w:color="#000000"/>
              <w:end w:sz="7.9957442283630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32" w:after="0"/>
              <w:ind w:left="0" w:right="2486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6</w:t>
            </w:r>
          </w:p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38" w:lineRule="exact" w:before="114" w:after="0"/>
              <w:ind w:left="8" w:right="144" w:firstLine="0"/>
              <w:jc w:val="left"/>
            </w:pPr>
            <w:r>
              <w:tab/>
            </w:r>
            <w:r>
              <w:rPr>
                <w:w w:val="98.43624114990234"/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L’administration compétente publie au « Bulletin officiel </w:t>
            </w:r>
            <w:r>
              <w:rPr>
                <w:w w:val="98.43624114990234"/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»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 et met à jour la liste des conseillers agricoles. </w:t>
            </w:r>
          </w:p>
          <w:p>
            <w:pPr>
              <w:autoSpaceDN w:val="0"/>
              <w:autoSpaceDE w:val="0"/>
              <w:widowControl/>
              <w:spacing w:line="200" w:lineRule="exact" w:before="154" w:after="0"/>
              <w:ind w:left="0" w:right="2340" w:firstLine="0"/>
              <w:jc w:val="right"/>
            </w:pPr>
            <w:r>
              <w:rPr>
                <w:rFonts w:ascii="TimesNewRomanMTStd" w:hAnsi="TimesNewRomanMTStd" w:eastAsia="TimesNewRomanMTStd"/>
                <w:b/>
                <w:i w:val="0"/>
                <w:color w:val="000000"/>
                <w:sz w:val="20"/>
              </w:rPr>
              <w:t>Chapitre III</w:t>
            </w:r>
          </w:p>
          <w:p>
            <w:pPr>
              <w:autoSpaceDN w:val="0"/>
              <w:autoSpaceDE w:val="0"/>
              <w:widowControl/>
              <w:spacing w:line="200" w:lineRule="exact" w:before="150" w:after="0"/>
              <w:ind w:left="504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/>
                <w:color w:val="000000"/>
                <w:sz w:val="20"/>
              </w:rPr>
              <w:t>Des obligations du conseiller agricole et ses clients</w:t>
            </w:r>
          </w:p>
          <w:p>
            <w:pPr>
              <w:autoSpaceDN w:val="0"/>
              <w:autoSpaceDE w:val="0"/>
              <w:widowControl/>
              <w:spacing w:line="226" w:lineRule="exact" w:before="122" w:after="0"/>
              <w:ind w:left="0" w:right="2484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7</w:t>
            </w:r>
          </w:p>
          <w:p>
            <w:pPr>
              <w:autoSpaceDN w:val="0"/>
              <w:autoSpaceDE w:val="0"/>
              <w:widowControl/>
              <w:spacing w:line="238" w:lineRule="exact" w:before="114" w:after="0"/>
              <w:ind w:left="14" w:right="198" w:firstLine="502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Les prestations du conseiller agricole doivent faire l’objet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d’un contrat, établi conformément au dahir des obligations et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des contrats qui fixera les droits et les obligations de chaque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partie. 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6" w:lineRule="exact" w:before="116" w:after="0"/>
              <w:ind w:left="16" w:right="144" w:firstLine="0"/>
              <w:jc w:val="left"/>
            </w:pP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Ce contrat doit obligatoirement contenir les clauses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suivantes : </w:t>
            </w:r>
          </w:p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38" w:lineRule="exact" w:before="114" w:after="0"/>
              <w:ind w:left="410" w:right="144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– la durée, la nature et la consistance des prestations du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conseiller agricole ; </w:t>
            </w:r>
          </w:p>
          <w:p>
            <w:pPr>
              <w:autoSpaceDN w:val="0"/>
              <w:autoSpaceDE w:val="0"/>
              <w:widowControl/>
              <w:spacing w:line="224" w:lineRule="exact" w:before="126" w:after="0"/>
              <w:ind w:left="41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– le calendrier des interventions ; </w:t>
            </w:r>
          </w:p>
          <w:p>
            <w:pPr>
              <w:autoSpaceDN w:val="0"/>
              <w:autoSpaceDE w:val="0"/>
              <w:widowControl/>
              <w:spacing w:line="226" w:lineRule="exact" w:before="126" w:after="0"/>
              <w:ind w:left="41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– les obligations et les droits des parties contractantes ;</w:t>
            </w:r>
          </w:p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38" w:lineRule="exact" w:before="112" w:after="0"/>
              <w:ind w:left="410" w:right="144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– les honoraires du conseiller agricole et les modalités de </w:t>
            </w: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leur règlement.</w:t>
            </w:r>
          </w:p>
          <w:p>
            <w:pPr>
              <w:autoSpaceDN w:val="0"/>
              <w:autoSpaceDE w:val="0"/>
              <w:widowControl/>
              <w:spacing w:line="226" w:lineRule="exact" w:before="126" w:after="0"/>
              <w:ind w:left="0" w:right="2486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8</w:t>
            </w:r>
          </w:p>
          <w:p>
            <w:pPr>
              <w:autoSpaceDN w:val="0"/>
              <w:autoSpaceDE w:val="0"/>
              <w:widowControl/>
              <w:spacing w:line="238" w:lineRule="exact" w:before="112" w:after="0"/>
              <w:ind w:left="14" w:right="198" w:firstLine="500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 conseiller agricole doit inscrire ses observations et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recommandations concernant l’exécution de ses interventions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prévues par le contrat cité à l’article 7 ci-dessus dans un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registre tenu sur les lieux de l’exploitation ou l’entreprise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agricole concernée.</w:t>
            </w:r>
          </w:p>
          <w:p>
            <w:pPr>
              <w:autoSpaceDN w:val="0"/>
              <w:autoSpaceDE w:val="0"/>
              <w:widowControl/>
              <w:spacing w:line="238" w:lineRule="exact" w:before="112" w:after="0"/>
              <w:ind w:left="14" w:right="204" w:firstLine="502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 bénéficiaire de l’intervention du conseiller agricole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doit inscrire au même registre les travaux effectués par lui en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application des recommandations du conseiller agricole.</w:t>
            </w:r>
          </w:p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38" w:lineRule="exact" w:before="112" w:after="0"/>
              <w:ind w:left="16" w:right="144" w:firstLine="0"/>
              <w:jc w:val="left"/>
            </w:pP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 modèle du registre ainsi que les conditions de sa tenue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sont fixées par voie réglementaire.</w:t>
            </w:r>
          </w:p>
          <w:p>
            <w:pPr>
              <w:autoSpaceDN w:val="0"/>
              <w:autoSpaceDE w:val="0"/>
              <w:widowControl/>
              <w:spacing w:line="226" w:lineRule="exact" w:before="126" w:after="0"/>
              <w:ind w:left="0" w:right="2486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9</w:t>
            </w:r>
          </w:p>
          <w:p>
            <w:pPr>
              <w:autoSpaceDN w:val="0"/>
              <w:autoSpaceDE w:val="0"/>
              <w:widowControl/>
              <w:spacing w:line="238" w:lineRule="exact" w:before="112" w:after="0"/>
              <w:ind w:left="14" w:right="144" w:firstLine="502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 conseiller agricole qui se trouve dans l’incapacité,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pour des raisons légitimes, d’assurer une mission ayant fait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l’objet d’un contrat, peut charger un autre conseiller agricole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agréé pour l’achever à sa place et sous sa responsabilité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dans le respect du contrat signé avec le bénéficiaire de ladite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intervention.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114" w:after="0"/>
              <w:ind w:left="14" w:right="144" w:firstLine="0"/>
              <w:jc w:val="left"/>
            </w:pP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Ce remplacement doit se faire par écrit et doit contenir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l’accord du bénéficiaire.</w:t>
            </w:r>
          </w:p>
          <w:p>
            <w:pPr>
              <w:autoSpaceDN w:val="0"/>
              <w:autoSpaceDE w:val="0"/>
              <w:widowControl/>
              <w:spacing w:line="226" w:lineRule="exact" w:before="124" w:after="0"/>
              <w:ind w:left="0" w:right="2444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10</w:t>
            </w:r>
          </w:p>
          <w:p>
            <w:pPr>
              <w:autoSpaceDN w:val="0"/>
              <w:autoSpaceDE w:val="0"/>
              <w:widowControl/>
              <w:spacing w:line="238" w:lineRule="exact" w:before="114" w:after="0"/>
              <w:ind w:left="14" w:right="202" w:firstLine="502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Les conseillers agricoles sont tenus d’adresser à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l’administration avant fin septembre de chaque année, un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rapport détaillé sur les activités qu’ils ont effectuées dans le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cadre de l’exercice de la profession de conseiller agricole.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36" w:lineRule="exact" w:before="116" w:after="0"/>
              <w:ind w:left="14" w:right="144" w:firstLine="0"/>
              <w:jc w:val="left"/>
            </w:pP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A défaut, l’agrément est suspendu par décision de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l’administration jusqu’à satisfaction de cette obligation.</w:t>
            </w:r>
          </w:p>
          <w:p>
            <w:pPr>
              <w:autoSpaceDN w:val="0"/>
              <w:autoSpaceDE w:val="0"/>
              <w:widowControl/>
              <w:spacing w:line="226" w:lineRule="exact" w:before="126" w:after="0"/>
              <w:ind w:left="0" w:right="2436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11</w:t>
            </w:r>
          </w:p>
          <w:p>
            <w:pPr>
              <w:autoSpaceDN w:val="0"/>
              <w:autoSpaceDE w:val="0"/>
              <w:widowControl/>
              <w:spacing w:line="238" w:lineRule="exact" w:before="68" w:after="0"/>
              <w:ind w:left="14" w:right="204" w:firstLine="502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 conseiller agricole est tenu de porter à la connaissance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 l’administration les maladies, parasites ou fléaux constatés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lors de l’exercice de sa mission.</w:t>
            </w:r>
          </w:p>
        </w:tc>
        <w:tc>
          <w:tcPr>
            <w:tcW w:type="dxa" w:w="5474"/>
            <w:tcBorders>
              <w:start w:sz="7.995744228363037" w:val="single" w:color="#000000"/>
              <w:top w:sz="5.341161727905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0" w:after="0"/>
              <w:ind w:left="0" w:right="2100" w:firstLine="0"/>
              <w:jc w:val="right"/>
            </w:pPr>
            <w:r>
              <w:rPr>
                <w:rFonts w:ascii="TimesNewRomanMTStd" w:hAnsi="TimesNewRomanMTStd" w:eastAsia="TimesNewRomanMTStd"/>
                <w:b/>
                <w:i w:val="0"/>
                <w:color w:val="000000"/>
                <w:sz w:val="20"/>
              </w:rPr>
              <w:t>Chapitre IV</w:t>
            </w:r>
          </w:p>
          <w:p>
            <w:pPr>
              <w:autoSpaceDN w:val="0"/>
              <w:autoSpaceDE w:val="0"/>
              <w:widowControl/>
              <w:spacing w:line="200" w:lineRule="exact" w:before="134" w:after="0"/>
              <w:ind w:left="852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/>
                <w:color w:val="000000"/>
                <w:sz w:val="20"/>
              </w:rPr>
              <w:t>De la Commission nationale du conseil agricole</w:t>
            </w:r>
          </w:p>
          <w:p>
            <w:pPr>
              <w:autoSpaceDN w:val="0"/>
              <w:autoSpaceDE w:val="0"/>
              <w:widowControl/>
              <w:spacing w:line="226" w:lineRule="exact" w:before="106" w:after="0"/>
              <w:ind w:left="0" w:right="2202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12</w:t>
            </w:r>
          </w:p>
          <w:p>
            <w:pPr>
              <w:autoSpaceDN w:val="0"/>
              <w:tabs>
                <w:tab w:pos="754" w:val="left"/>
              </w:tabs>
              <w:autoSpaceDE w:val="0"/>
              <w:widowControl/>
              <w:spacing w:line="222" w:lineRule="exact" w:before="112" w:after="0"/>
              <w:ind w:left="252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Il est institué une commission nationale du conseil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agricole dénommée ci-après « commission », composée :</w:t>
            </w:r>
          </w:p>
          <w:p>
            <w:pPr>
              <w:autoSpaceDN w:val="0"/>
              <w:autoSpaceDE w:val="0"/>
              <w:widowControl/>
              <w:spacing w:line="226" w:lineRule="exact" w:before="108" w:after="0"/>
              <w:ind w:left="648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– des représentants de l’Etat ;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22" w:lineRule="exact" w:before="112" w:after="0"/>
              <w:ind w:left="648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– du directeur de l’Office National du Conseil Agricole </w:t>
            </w: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ou son représentant ;</w:t>
            </w:r>
          </w:p>
          <w:p>
            <w:pPr>
              <w:autoSpaceDN w:val="0"/>
              <w:tabs>
                <w:tab w:pos="794" w:val="left"/>
              </w:tabs>
              <w:autoSpaceDE w:val="0"/>
              <w:widowControl/>
              <w:spacing w:line="222" w:lineRule="exact" w:before="112" w:after="0"/>
              <w:ind w:left="648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– du directeur de l’Institut National de la Recherche </w:t>
            </w: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Agronomique ou son représentant ;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22" w:lineRule="exact" w:before="112" w:after="0"/>
              <w:ind w:left="648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– du directeur de l’Institut Agronomique et Vétérinaire </w:t>
            </w: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Hassan II ou son représentant ;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22" w:lineRule="exact" w:before="112" w:after="0"/>
              <w:ind w:left="648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– du directeur de l’Ecole Nationale d’Agriculture de </w:t>
            </w: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Meknès ou son représentant ;</w:t>
            </w:r>
          </w:p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22" w:lineRule="exact" w:before="112" w:after="0"/>
              <w:ind w:left="648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– du directeur de l’Office National de Sécurité Sanitaire </w:t>
            </w: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des Produits Alimentaires ou son représentant ;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22" w:lineRule="exact" w:before="112" w:after="0"/>
              <w:ind w:left="648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–  du président de l’association des chambres d’agriculture </w:t>
            </w: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ou son représentant ;</w:t>
            </w:r>
          </w:p>
          <w:p>
            <w:pPr>
              <w:autoSpaceDN w:val="0"/>
              <w:autoSpaceDE w:val="0"/>
              <w:widowControl/>
              <w:spacing w:line="222" w:lineRule="exact" w:before="112" w:after="0"/>
              <w:ind w:left="818" w:right="0" w:hanging="170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–  du trois (3) professionnels représentant trois (3) filières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 production agricole, désignés selon les modalités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fixées par voie réglementaire.</w:t>
            </w:r>
          </w:p>
          <w:p>
            <w:pPr>
              <w:autoSpaceDN w:val="0"/>
              <w:tabs>
                <w:tab w:pos="754" w:val="left"/>
              </w:tabs>
              <w:autoSpaceDE w:val="0"/>
              <w:widowControl/>
              <w:spacing w:line="220" w:lineRule="exact" w:before="116" w:after="0"/>
              <w:ind w:left="252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La présidence et le secrétariat de cette commission sont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assurés par l’administration. </w:t>
            </w:r>
          </w:p>
          <w:p>
            <w:pPr>
              <w:autoSpaceDN w:val="0"/>
              <w:tabs>
                <w:tab w:pos="754" w:val="left"/>
              </w:tabs>
              <w:autoSpaceDE w:val="0"/>
              <w:widowControl/>
              <w:spacing w:line="220" w:lineRule="exact" w:before="116" w:after="0"/>
              <w:ind w:left="250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La composition et les modalités de fonctionnement de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ladite commission sont fixées par voie réglementaire.</w:t>
            </w:r>
          </w:p>
          <w:p>
            <w:pPr>
              <w:autoSpaceDN w:val="0"/>
              <w:autoSpaceDE w:val="0"/>
              <w:widowControl/>
              <w:spacing w:line="222" w:lineRule="exact" w:before="114" w:after="0"/>
              <w:ind w:left="252" w:right="0" w:firstLine="502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La commission peut se faire assister par toute personne,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physique ou morale, connue pour son expérience et sa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compétence dans les domaines prévus à l’article 2 ci-dessus. </w:t>
            </w:r>
          </w:p>
          <w:p>
            <w:pPr>
              <w:autoSpaceDN w:val="0"/>
              <w:autoSpaceDE w:val="0"/>
              <w:widowControl/>
              <w:spacing w:line="224" w:lineRule="exact" w:before="110" w:after="0"/>
              <w:ind w:left="0" w:right="2202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13</w:t>
            </w:r>
          </w:p>
          <w:p>
            <w:pPr>
              <w:autoSpaceDN w:val="0"/>
              <w:autoSpaceDE w:val="0"/>
              <w:widowControl/>
              <w:spacing w:line="222" w:lineRule="exact" w:before="114" w:after="0"/>
              <w:ind w:left="252" w:right="0" w:firstLine="500"/>
              <w:jc w:val="both"/>
            </w:pPr>
            <w:r>
              <w:rPr>
                <w:w w:val="98.94234657287598"/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La commission citée à l’article 12 ci-dessus est chargée </w:t>
            </w:r>
            <w:r>
              <w:rPr>
                <w:w w:val="98.94234657287598"/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notamment de donner son avis à l’administration sur toute </w:t>
            </w:r>
            <w:r>
              <w:rPr>
                <w:w w:val="98.94234657287598"/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demande d’octroi, de renouvellement, de suspension ou de </w:t>
            </w:r>
            <w:r>
              <w:rPr>
                <w:w w:val="98.94234657287598"/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retrait d’agrément pour l’exercice de la profession du conseiller </w:t>
            </w:r>
            <w:r>
              <w:rPr>
                <w:w w:val="98.94234657287598"/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agricole.</w:t>
            </w:r>
          </w:p>
          <w:p>
            <w:pPr>
              <w:autoSpaceDN w:val="0"/>
              <w:autoSpaceDE w:val="0"/>
              <w:widowControl/>
              <w:spacing w:line="200" w:lineRule="exact" w:before="138" w:after="0"/>
              <w:ind w:left="0" w:right="2142" w:firstLine="0"/>
              <w:jc w:val="right"/>
            </w:pPr>
            <w:r>
              <w:rPr>
                <w:rFonts w:ascii="TimesNewRomanMTStd" w:hAnsi="TimesNewRomanMTStd" w:eastAsia="TimesNewRomanMTStd"/>
                <w:b/>
                <w:i w:val="0"/>
                <w:color w:val="000000"/>
                <w:sz w:val="20"/>
              </w:rPr>
              <w:t>Chapitre V</w:t>
            </w:r>
          </w:p>
          <w:p>
            <w:pPr>
              <w:autoSpaceDN w:val="0"/>
              <w:autoSpaceDE w:val="0"/>
              <w:widowControl/>
              <w:spacing w:line="200" w:lineRule="exact" w:before="134" w:after="0"/>
              <w:ind w:left="506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/>
                <w:color w:val="000000"/>
                <w:sz w:val="20"/>
              </w:rPr>
              <w:t>De l’association professionnelle des conseillers agricoles</w:t>
            </w:r>
          </w:p>
          <w:p>
            <w:pPr>
              <w:autoSpaceDN w:val="0"/>
              <w:autoSpaceDE w:val="0"/>
              <w:widowControl/>
              <w:spacing w:line="226" w:lineRule="exact" w:before="106" w:after="0"/>
              <w:ind w:left="0" w:right="2204" w:firstLine="0"/>
              <w:jc w:val="righ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Article 14</w:t>
            </w:r>
          </w:p>
          <w:p>
            <w:pPr>
              <w:autoSpaceDN w:val="0"/>
              <w:autoSpaceDE w:val="0"/>
              <w:widowControl/>
              <w:spacing w:line="222" w:lineRule="exact" w:before="112" w:after="0"/>
              <w:ind w:left="250" w:right="0" w:firstLine="502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Les conseillers agricoles sont tenus de se constituer,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au niveau régional, en associations professionnelles des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conseillers agricoles régies par les dispositions du dahir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n°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 1-58-376 du 3 joumada I 1378 (15 novembre 1958) réglementant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 droit d’association, tel qu’il a été modifié et complété. </w:t>
            </w:r>
          </w:p>
          <w:p>
            <w:pPr>
              <w:autoSpaceDN w:val="0"/>
              <w:autoSpaceDE w:val="0"/>
              <w:widowControl/>
              <w:spacing w:line="222" w:lineRule="exact" w:before="112" w:after="0"/>
              <w:ind w:left="250" w:right="0" w:firstLine="506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Ces associations ont pour objet de garantir l’exercice de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>la profession de conseiller agricole et de défendre ses intérêts.</w:t>
            </w:r>
          </w:p>
          <w:p>
            <w:pPr>
              <w:autoSpaceDN w:val="0"/>
              <w:autoSpaceDE w:val="0"/>
              <w:widowControl/>
              <w:spacing w:line="222" w:lineRule="exact" w:before="114" w:after="0"/>
              <w:ind w:left="252" w:right="0" w:firstLine="502"/>
              <w:jc w:val="both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Ces associations doivent constituer une fédération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nationale des conseillers agricoles régie par les dispositions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du dahir n° 1-58-376 susvisé, tel qu’il a été modifié et complété. </w:t>
            </w:r>
          </w:p>
          <w:p>
            <w:pPr>
              <w:autoSpaceDN w:val="0"/>
              <w:tabs>
                <w:tab w:pos="754" w:val="left"/>
              </w:tabs>
              <w:autoSpaceDE w:val="0"/>
              <w:widowControl/>
              <w:spacing w:line="220" w:lineRule="exact" w:before="116" w:after="0"/>
              <w:ind w:left="248" w:right="0" w:firstLine="0"/>
              <w:jc w:val="left"/>
            </w:pPr>
            <w:r>
              <w:tab/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Les statuts-type de l’association et de la fédération sont </w:t>
            </w: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20"/>
              </w:rPr>
              <w:t xml:space="preserve">fixés par voie réglementaire. </w:t>
            </w:r>
          </w:p>
          <w:p>
            <w:pPr>
              <w:autoSpaceDN w:val="0"/>
              <w:autoSpaceDE w:val="0"/>
              <w:widowControl/>
              <w:spacing w:line="202" w:lineRule="exact" w:before="242" w:after="0"/>
              <w:ind w:left="248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18"/>
              </w:rPr>
              <w:t xml:space="preserve">Le texte en langue arabe a été publié dans l’édition générale du 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398" w:right="0" w:firstLine="0"/>
              <w:jc w:val="left"/>
            </w:pPr>
            <w:r>
              <w:rPr>
                <w:rFonts w:ascii="TimesNewRomanMTStd" w:hAnsi="TimesNewRomanMTStd" w:eastAsia="TimesNewRomanMTStd"/>
                <w:b w:val="0"/>
                <w:i w:val="0"/>
                <w:color w:val="000000"/>
                <w:sz w:val="18"/>
              </w:rPr>
              <w:t>« Bulletin officiel » n° 6259 du 26 rejeb 1435 (26 mai 2014).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568" w:right="378" w:bottom="500" w:left="4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