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280"/>
        </w:trPr>
        <w:tc>
          <w:tcPr>
            <w:tcW w:type="dxa" w:w="10462"/>
            <w:tcBorders/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Activités liées au Management &amp; Encadrement</w:t>
            </w:r>
          </w:p>
        </w:tc>
      </w:tr>
    </w:tbl>
    <w:p>
      <w:pPr>
        <w:sectPr>
          <w:pgSz w:w="11906" w:h="16838"/>
          <w:pgMar w:top="15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9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</w:rPr>
              <w:t>•</w:t>
            </w:r>
          </w:p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526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8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Management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</w:rPr>
              <w:t>Esprit organisé et structuré</w:t>
            </w:r>
          </w:p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</w:tbl>
    <w:p>
      <w:pPr>
        <w:sectPr>
          <w:pgSz w:w="11906" w:h="16838"/>
          <w:pgMar w:top="148" w:right="710" w:bottom="94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Dossiers de subvention FDA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9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</w:rPr>
              <w:t>•</w:t>
            </w:r>
          </w:p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7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Management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Compétences requises et critères de performance</w:t>
            </w:r>
          </w:p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Relations fonctionnelles</w:t>
            </w:r>
          </w:p>
        </w:tc>
      </w:tr>
      <w:tr>
        <w:tc>
          <w:tcPr>
            <w:tcW w:type="dxa" w:w="10486"/>
          </w:tcPr>
          <w:p/>
        </w:tc>
      </w:tr>
      <w:tr>
        <w:tc>
          <w:tcPr>
            <w:tcW w:type="dxa" w:w="10486"/>
          </w:tcPr>
          <w:p/>
        </w:tc>
      </w:tr>
      <w:tr>
        <w:tc>
          <w:tcPr>
            <w:tcW w:type="dxa" w:w="10486"/>
          </w:tcPr>
          <w:p/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442"/>
      </w:tblGrid>
      <w:tr>
        <w:trPr>
          <w:trHeight w:hRule="exact" w:val="1902"/>
        </w:trPr>
        <w:tc>
          <w:tcPr>
            <w:tcW w:type="dxa" w:w="103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</w:rPr>
              <w:t>Formation initiale cible</w:t>
            </w:r>
          </w:p>
        </w:tc>
      </w:tr>
    </w:tbl>
    <w:sectPr w:rsidR="00FC693F" w:rsidRPr="0006063C" w:rsidSect="00034616">
      <w:pgSz w:w="11906" w:h="16838"/>
      <w:pgMar w:top="144" w:right="728" w:bottom="94" w:left="7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