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Poste</w:t>
            </w:r>
          </w:p>
        </w:tc>
        <w:tc>
          <w:tcPr>
            <w:tcW w:type="dxa" w:w="8072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Chef de Service de la Protection Sociale</w:t>
            </w:r>
          </w:p>
        </w:tc>
      </w:tr>
      <w:tr>
        <w:trPr>
          <w:trHeight w:hRule="exact" w:val="310"/>
        </w:trPr>
        <w:tc>
          <w:tcPr>
            <w:tcW w:type="dxa" w:w="238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Code Poste</w:t>
            </w:r>
          </w:p>
        </w:tc>
        <w:tc>
          <w:tcPr>
            <w:tcW w:type="dxa" w:w="807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101.103.807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12"/>
        </w:trPr>
        <w:tc>
          <w:tcPr>
            <w:tcW w:type="dxa" w:w="2402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8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Famille</w:t>
            </w:r>
          </w:p>
        </w:tc>
        <w:tc>
          <w:tcPr>
            <w:tcW w:type="dxa" w:w="8050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/>
                <w:color w:val="000000"/>
                <w:sz w:val="20"/>
              </w:rPr>
              <w:t>Management</w:t>
            </w:r>
          </w:p>
        </w:tc>
      </w:tr>
      <w:tr>
        <w:trPr>
          <w:trHeight w:hRule="exact" w:val="302"/>
        </w:trPr>
        <w:tc>
          <w:tcPr>
            <w:tcW w:type="dxa" w:w="2402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Sous famille</w:t>
            </w:r>
          </w:p>
        </w:tc>
        <w:tc>
          <w:tcPr>
            <w:tcW w:type="dxa" w:w="8050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/>
                <w:color w:val="696969"/>
                <w:sz w:val="20"/>
              </w:rPr>
              <w:t>Management opérationnel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45"/>
        <w:gridCol w:w="5245"/>
      </w:tblGrid>
      <w:tr>
        <w:trPr>
          <w:trHeight w:hRule="exact" w:val="280"/>
        </w:trPr>
        <w:tc>
          <w:tcPr>
            <w:tcW w:type="dxa" w:w="2704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Domaine</w:t>
            </w:r>
          </w:p>
        </w:tc>
        <w:tc>
          <w:tcPr>
            <w:tcW w:type="dxa" w:w="774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34" w:type="dxa"/>
            </w:tblPr>
            <w:tblGrid>
              <w:gridCol w:w="7742"/>
            </w:tblGrid>
            <w:tr>
              <w:trPr>
                <w:trHeight w:hRule="exact" w:val="260"/>
              </w:trPr>
              <w:tc>
                <w:tcPr>
                  <w:tcW w:type="dxa" w:w="7718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détaillées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2.0000000000005" w:type="dxa"/>
      </w:tblPr>
      <w:tblGrid>
        <w:gridCol w:w="10490"/>
      </w:tblGrid>
      <w:tr>
        <w:trPr>
          <w:trHeight w:hRule="exact" w:val="306"/>
        </w:trPr>
        <w:tc>
          <w:tcPr>
            <w:tcW w:type="dxa" w:w="7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04" w:after="0"/>
              <w:ind w:left="1574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Activités liées au poste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152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482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4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Protection sociale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8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la mise en place et suivi des programmes de la protection sociale des agriculteurs au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niveau régional</w:t>
                  </w:r>
                </w:p>
              </w:tc>
            </w:tr>
            <w:tr>
              <w:trPr>
                <w:trHeight w:hRule="exact" w:val="67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Disposer d'une base de données sur les agriculteurs et leurs propriétés agricoles pour bénéficier des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différents programmes de développement agricole et de protection sociale et suivre sa mise en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2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œuvre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au suivi des conventions d'échange de données avec les partenaires institutionnels et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assurer un suivi de la règlementation en lien avec la protection sociale.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47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Activités transverses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aux manifestations/ ateliers transverses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Participer au traitement des requêtes / doléances émanant des partenaires/ agriculteurs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Assurer l’interface avec les partenaires institutionnels (chambre d’agriculture, ONCA, ONSSA,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20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Autorité locale …)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62"/>
                  <w:tcBorders/>
                  <w:shd w:fill="4169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2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Activités liées au Management &amp; Encadrement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90"/>
      </w:tblGrid>
      <w:tr>
        <w:trPr>
          <w:trHeight w:hRule="exact" w:val="3960"/>
        </w:trPr>
        <w:tc>
          <w:tcPr>
            <w:tcW w:type="dxa" w:w="104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5231"/>
              <w:gridCol w:w="5231"/>
            </w:tblGrid>
            <w:tr>
              <w:trPr>
                <w:trHeight w:hRule="exact" w:val="302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934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Management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4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48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Décliner les objectifs opérationnels arrêtés en alignement avec ses missions et ses responsabilités</w:t>
                  </w: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 xml:space="preserve">Participer à l’élaboration et à la mise en œuvre des programmes et/ou des plans d’actions de la </w:t>
                  </w:r>
                </w:p>
                <w:p>
                  <w:pPr>
                    <w:autoSpaceDN w:val="0"/>
                    <w:autoSpaceDE w:val="0"/>
                    <w:widowControl/>
                    <w:spacing w:line="211" w:lineRule="auto" w:before="18" w:after="0"/>
                    <w:ind w:left="630" w:right="0" w:firstLine="0"/>
                    <w:jc w:val="left"/>
                  </w:pP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Division, en relation avec sa mission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respect du cadre réglementaire, procédural et conventionnel régissant ses activités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œuvre des référentiels, méthodes et outils définis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l’exécution des activités et des projets relevant de la responsabilité de son Service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4.0" w:val="single" w:color="#D2D2D2"/>
                    <w:end w:sz="8.0" w:val="single" w:color="#D2D2D2"/>
                    <w:bottom w:sz="8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Gérer les relations avec les différents partenaires institutionnels relevant de son champ d’actions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2700"/>
                  <w:vMerge w:val="restart"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690" w:after="0"/>
                    <w:ind w:left="30" w:right="0" w:firstLine="0"/>
                    <w:jc w:val="left"/>
                  </w:pPr>
                  <w:r>
                    <w:rPr>
                      <w:rFonts w:ascii="Georgia" w:hAnsi="Georgia" w:eastAsia="Georgia"/>
                      <w:b/>
                      <w:i/>
                      <w:color w:val="000000"/>
                      <w:sz w:val="16"/>
                    </w:rPr>
                    <w:t>Organisation &amp; encadrement</w:t>
                  </w:r>
                </w:p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au déploiement des ressources nécessaires au fonctionnement des activités de son Service</w:t>
                  </w:r>
                </w:p>
              </w:tc>
            </w:tr>
            <w:tr>
              <w:trPr>
                <w:trHeight w:hRule="exact" w:val="306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Veiller à l’encadrement de son équipe et à l’enrichissement de son portefeuille de compétences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2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Mettre en place les outils de suivi et les indicateurs d’évaluation de la performance de son Service</w:t>
                  </w:r>
                </w:p>
              </w:tc>
            </w:tr>
            <w:tr>
              <w:trPr>
                <w:trHeight w:hRule="exact" w:val="308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8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Elaborer les rapports et bilans de synthèse des réalisations de son service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5231"/>
                  <w:vMerge/>
                  <w:tcBorders>
                    <w:start w:sz="4.0" w:val="single" w:color="#D2D2D2"/>
                    <w:top w:sz="8.0" w:val="single" w:color="#D2D2D2"/>
                    <w:end w:sz="8.0" w:val="single" w:color="#D2D2D2"/>
                    <w:bottom w:sz="4.0" w:val="single" w:color="#D2D2D2"/>
                  </w:tcBorders>
                </w:tcPr>
                <w:p/>
              </w:tc>
              <w:tc>
                <w:tcPr>
                  <w:tcW w:type="dxa" w:w="7752"/>
                  <w:tcBorders>
                    <w:start w:sz="8.0" w:val="single" w:color="#D2D2D2"/>
                    <w:top w:sz="8.0" w:val="single" w:color="#D2D2D2"/>
                    <w:end w:sz="4.0" w:val="single" w:color="#D2D2D2"/>
                    <w:bottom w:sz="4.0" w:val="single" w:color="#D2D2D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30" w:val="left"/>
                    </w:tabs>
                    <w:autoSpaceDE w:val="0"/>
                    <w:widowControl/>
                    <w:spacing w:line="250" w:lineRule="exact" w:before="10" w:after="0"/>
                    <w:ind w:left="27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tab/>
                  </w:r>
                  <w:r>
                    <w:rPr>
                      <w:rFonts w:ascii="Georgia" w:hAnsi="Georgia" w:eastAsia="Georgia"/>
                      <w:b w:val="0"/>
                      <w:i w:val="0"/>
                      <w:color w:val="000000"/>
                      <w:sz w:val="16"/>
                    </w:rPr>
                    <w:t>Classer et archiver les documents et pièces dans le cadre du périmètre de sa fonction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10462"/>
            </w:tblGrid>
            <w:tr>
              <w:trPr>
                <w:trHeight w:hRule="exact" w:val="260"/>
              </w:trPr>
              <w:tc>
                <w:tcPr>
                  <w:tcW w:type="dxa" w:w="10442"/>
                  <w:tcBorders/>
                  <w:shd w:fill="69696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1" w:lineRule="auto" w:before="70" w:after="0"/>
                    <w:ind w:left="0" w:right="0" w:firstLine="0"/>
                    <w:jc w:val="center"/>
                  </w:pPr>
                  <w:r>
                    <w:rPr>
                      <w:rFonts w:ascii="Georgia" w:hAnsi="Georgia" w:eastAsia="Georgia"/>
                      <w:b/>
                      <w:i w:val="0"/>
                      <w:color w:val="FFFFFF"/>
                      <w:sz w:val="16"/>
                    </w:rPr>
                    <w:t>Champs des relations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hiérarchiques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Directeur Régional de l’Agriculture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Chef de Division de la Protection Sociale des Agriculteurs</w:t>
            </w:r>
          </w:p>
        </w:tc>
      </w:tr>
    </w:tbl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90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fonctionnelles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DPA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DRA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DSS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EACCE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ORMVA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ONCA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ONICL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ONSSA</w:t>
            </w:r>
          </w:p>
        </w:tc>
      </w:tr>
      <w:tr>
        <w:trPr>
          <w:trHeight w:hRule="exact" w:val="302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SONACOS</w:t>
            </w:r>
          </w:p>
        </w:tc>
      </w:tr>
    </w:tbl>
    <w:p>
      <w:pPr>
        <w:autoSpaceDN w:val="0"/>
        <w:autoSpaceDE w:val="0"/>
        <w:widowControl/>
        <w:spacing w:line="3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7"/>
        <w:gridCol w:w="3497"/>
        <w:gridCol w:w="3497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11:46:30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101.103.807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1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300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8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MAMDA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CAM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Chambres d’agriculture</w:t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Relations externes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Autorités locales</w:t>
            </w:r>
          </w:p>
        </w:tc>
      </w:tr>
      <w:tr>
        <w:trPr>
          <w:trHeight w:hRule="exact" w:val="306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48" w:lineRule="exact" w:before="10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Organismes professionnels agricoles (OPA)</w:t>
            </w:r>
          </w:p>
        </w:tc>
      </w:tr>
      <w:tr>
        <w:trPr>
          <w:trHeight w:hRule="exact" w:val="308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Prestataires</w:t>
            </w:r>
          </w:p>
        </w:tc>
      </w:tr>
      <w:tr>
        <w:trPr>
          <w:trHeight w:hRule="exact" w:val="304"/>
        </w:trPr>
        <w:tc>
          <w:tcPr>
            <w:tcW w:type="dxa" w:w="10430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12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Caisse Nationale de Sécurité Sociale(CNSS)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323E4F"/>
                <w:sz w:val="16"/>
              </w:rPr>
              <w:t>Pré-requis et Compétences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initiale requise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Niveau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280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Agroéconomie ou assimilée</w:t>
            </w:r>
          </w:p>
        </w:tc>
      </w:tr>
      <w:tr>
        <w:trPr>
          <w:trHeight w:hRule="exact" w:val="276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BAC + 5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Statistiques ou assimilées</w:t>
            </w:r>
          </w:p>
        </w:tc>
      </w:tr>
    </w:tbl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Formation spécifique requise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62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la formation</w:t>
            </w:r>
          </w:p>
        </w:tc>
      </w:tr>
      <w:tr>
        <w:trPr>
          <w:trHeight w:hRule="exact" w:val="666"/>
        </w:trPr>
        <w:tc>
          <w:tcPr>
            <w:tcW w:type="dxa" w:w="10432"/>
            <w:tcBorders>
              <w:start w:sz="4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10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Statistiques</w:t>
            </w:r>
          </w:p>
          <w:p>
            <w:pPr>
              <w:autoSpaceDN w:val="0"/>
              <w:autoSpaceDE w:val="0"/>
              <w:widowControl/>
              <w:spacing w:line="211" w:lineRule="auto" w:before="20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</w:t>
            </w:r>
          </w:p>
          <w:p>
            <w:pPr>
              <w:autoSpaceDN w:val="0"/>
              <w:autoSpaceDE w:val="0"/>
              <w:widowControl/>
              <w:spacing w:line="211" w:lineRule="auto" w:before="22" w:after="0"/>
              <w:ind w:left="6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Sciences économiques</w:t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Expérience professionnelle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3346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Durée</w:t>
            </w:r>
          </w:p>
        </w:tc>
        <w:tc>
          <w:tcPr>
            <w:tcW w:type="dxa" w:w="7086"/>
            <w:tcBorders>
              <w:start w:sz="8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Nature de l’expérience</w:t>
            </w:r>
          </w:p>
        </w:tc>
      </w:tr>
      <w:tr>
        <w:trPr>
          <w:trHeight w:hRule="exact" w:val="438"/>
        </w:trPr>
        <w:tc>
          <w:tcPr>
            <w:tcW w:type="dxa" w:w="3346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 ans et plus</w:t>
            </w:r>
          </w:p>
        </w:tc>
        <w:tc>
          <w:tcPr>
            <w:tcW w:type="dxa" w:w="7086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30" w:right="432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Statistiques et enquêtes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Ingénierie de développement agricole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6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requises et critères de performance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3"/>
        <w:gridCol w:w="5243"/>
      </w:tblGrid>
      <w:tr>
        <w:trPr>
          <w:trHeight w:hRule="exact" w:val="264"/>
        </w:trPr>
        <w:tc>
          <w:tcPr>
            <w:tcW w:type="dxa" w:w="10432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managériales  &amp; Niveau requis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des objectifs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Organisation et optimisation des ressources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et gestion d’équipe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Autonomie et résolution de problèmes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Leadership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d’analyse et de synthèse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Orientation qualité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Animation des relations (interne / 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4"/>
        </w:trPr>
        <w:tc>
          <w:tcPr>
            <w:tcW w:type="dxa" w:w="9790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Communication et d’expression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 comportementales &amp; Niveau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Proactivité / Réactivité / Agilité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Capacité d’écoute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2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d’initiative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Ouverture au changement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Esprit organisé et structuré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Gestion du stress et de situations complexes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Rigueur et discipline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6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Qualité de coopération (interne /externe)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243"/>
        <w:gridCol w:w="5243"/>
      </w:tblGrid>
      <w:tr>
        <w:trPr>
          <w:trHeight w:hRule="exact" w:val="262"/>
        </w:trPr>
        <w:tc>
          <w:tcPr>
            <w:tcW w:type="dxa" w:w="10430"/>
            <w:gridSpan w:val="2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56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  <w:color w:val="FFFFFF"/>
                <w:sz w:val="16"/>
              </w:rPr>
              <w:t>Compétences techniques &amp; Niveau de requis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dans le domaine législatif et juridique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Connaissance des filières développées dans la région et de leurs spécificités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Logiciels statistiques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Management de projets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Administration des bases de données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Conduite d’enquête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Méthodes d’enquête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  <w:tr>
        <w:trPr>
          <w:trHeight w:hRule="exact" w:val="278"/>
        </w:trPr>
        <w:tc>
          <w:tcPr>
            <w:tcW w:type="dxa" w:w="9788"/>
            <w:tcBorders>
              <w:start w:sz="4.0" w:val="single" w:color="#D2D2D2"/>
              <w:top w:sz="8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Techniques statistiques</w:t>
            </w:r>
          </w:p>
        </w:tc>
        <w:tc>
          <w:tcPr>
            <w:tcW w:type="dxa" w:w="642"/>
            <w:tcBorders>
              <w:start w:sz="8.0" w:val="single" w:color="#D2D2D2"/>
              <w:top w:sz="8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0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495"/>
        <w:gridCol w:w="3495"/>
        <w:gridCol w:w="3495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11:46:30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101.103.807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3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2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32" w:right="1008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 xml:space="preserve">Formation initiale cible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Les domaines de formations sont cités à titre indicatif et sont jugés les plus adéquats pour répondre aux missions/activités du poste.</w:t>
            </w:r>
          </w:p>
          <w:p>
            <w:pPr>
              <w:autoSpaceDN w:val="0"/>
              <w:tabs>
                <w:tab w:pos="314" w:val="left"/>
                <w:tab w:pos="598" w:val="left"/>
              </w:tabs>
              <w:autoSpaceDE w:val="0"/>
              <w:widowControl/>
              <w:spacing w:line="245" w:lineRule="auto" w:before="20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16"/>
                <w:u w:val="single"/>
              </w:rPr>
              <w:t>Niveau de Compétences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1 : Initiation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Application des principes de base et/ou reproduction de situation simple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2 : Adaptation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partielle des éléments essentiels avec une capacité d’adaptation par rapport à des situations nouvelles et/ou </w:t>
            </w:r>
            <w:r>
              <w:tab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>relativement complexes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3 : Maitrise 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Maitrise totale de l’ensemble des éléments avec une forte capacité de gestion et/ou d’optimisation ;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§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Niv 4 : Excellence</w:t>
            </w:r>
            <w:r>
              <w:rPr>
                <w:rFonts w:ascii="Georgia" w:hAnsi="Georgia" w:eastAsia="Georgia"/>
                <w:b/>
                <w:i w:val="0"/>
                <w:color w:val="000000"/>
                <w:sz w:val="16"/>
              </w:rPr>
              <w:t>:</w:t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16"/>
              </w:rPr>
              <w:t xml:space="preserve"> Expertise / Excellence opérationnelle</w:t>
            </w:r>
          </w:p>
        </w:tc>
      </w:tr>
    </w:tbl>
    <w:p>
      <w:pPr>
        <w:autoSpaceDN w:val="0"/>
        <w:autoSpaceDE w:val="0"/>
        <w:widowControl/>
        <w:spacing w:line="142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81"/>
        <w:gridCol w:w="3481"/>
        <w:gridCol w:w="3481"/>
      </w:tblGrid>
      <w:tr>
        <w:trPr>
          <w:trHeight w:hRule="exact" w:val="20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36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Date/Heure édition 01/07/2025 11:46:30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914" w:right="0" w:firstLine="0"/>
              <w:jc w:val="lef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101.103.807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16" w:firstLine="0"/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color w:val="000000"/>
                <w:sz w:val="16"/>
              </w:rPr>
              <w:t>Page 3 de 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" w:right="728" w:bottom="94" w:left="7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