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330"/>
      </w:tblGrid>
      <w:tr>
        <w:trPr>
          <w:trHeight w:hRule="exact" w:val="1750"/>
        </w:trPr>
        <w:tc>
          <w:tcPr>
            <w:tcW w:type="dxa" w:w="92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80" w:after="0"/>
              <w:ind w:left="288" w:right="288" w:firstLine="0"/>
              <w:jc w:val="center"/>
            </w:pP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8"/>
              </w:rPr>
              <w:t>PROGRAMME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8"/>
              </w:rPr>
              <w:t>D’APPUI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8"/>
              </w:rPr>
              <w:t>A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8"/>
              </w:rPr>
              <w:t>L’AGRICULTURE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8"/>
              </w:rPr>
              <w:t>SOLIDAIRE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8"/>
              </w:rPr>
              <w:t>INCLUSIVE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8"/>
              </w:rPr>
              <w:t>DES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8"/>
              </w:rPr>
              <w:t>FEMMES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8"/>
              </w:rPr>
              <w:t xml:space="preserve">ET 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8"/>
              </w:rPr>
              <w:t>DES</w:t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8"/>
              </w:rPr>
              <w:t xml:space="preserve">JEUNES </w:t>
            </w:r>
            <w:r>
              <w:br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8"/>
              </w:rPr>
              <w:t xml:space="preserve">« PAASIFEJ » </w:t>
            </w:r>
            <w:r>
              <w:br/>
            </w:r>
            <w:r>
              <w:rPr>
                <w:rFonts w:ascii="Calibri Light" w:hAnsi="Calibri Light" w:eastAsia="Calibri Light"/>
                <w:b w:val="0"/>
                <w:i w:val="0"/>
                <w:color w:val="000000"/>
                <w:sz w:val="28"/>
              </w:rPr>
              <w:t xml:space="preserve">P-MA-AA0-024 </w:t>
            </w:r>
          </w:p>
        </w:tc>
      </w:tr>
    </w:tbl>
    <w:p>
      <w:pPr>
        <w:autoSpaceDN w:val="0"/>
        <w:autoSpaceDE w:val="0"/>
        <w:widowControl/>
        <w:spacing w:line="266" w:lineRule="exact" w:before="996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Plan de gestion Environnemental &amp; Social (PGES)</w:t>
      </w:r>
    </w:p>
    <w:p>
      <w:pPr>
        <w:autoSpaceDN w:val="0"/>
        <w:autoSpaceDE w:val="0"/>
        <w:widowControl/>
        <w:spacing w:line="264" w:lineRule="exact" w:before="107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Considérations générales </w:t>
      </w:r>
    </w:p>
    <w:p>
      <w:pPr>
        <w:autoSpaceDN w:val="0"/>
        <w:tabs>
          <w:tab w:pos="402" w:val="left"/>
          <w:tab w:pos="826" w:val="left"/>
        </w:tabs>
        <w:autoSpaceDE w:val="0"/>
        <w:widowControl/>
        <w:spacing w:line="276" w:lineRule="exact" w:before="272" w:after="0"/>
        <w:ind w:left="2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 Ministère l’Agriculture, de la Pèche Maritime, du Développement Rural et des Eaux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et Forêts, représenté par l’Agence pour le Développement Agricole prévoit de mettre 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œuvre le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programme d’appui à l’agriculture solidaire inclusive pour les femmes et les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jeunes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(le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 xml:space="preserve">Projet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). La Banque a accepté de fournir le financement, l'appui à la mise en œuvre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et le suivi du projet. </w:t>
      </w:r>
    </w:p>
    <w:p>
      <w:pPr>
        <w:autoSpaceDN w:val="0"/>
        <w:autoSpaceDE w:val="0"/>
        <w:widowControl/>
        <w:spacing w:line="276" w:lineRule="exact" w:before="276" w:after="0"/>
        <w:ind w:left="478" w:right="78" w:hanging="36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2.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 Ministère de l’Agriculture, de la Pèche Maritime, du Développement Rural et des Eaux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et Forêts, représenté par l’Agence pour le Développement Agricole mettra en œuvre, 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collaboration avec les DRA/DPA/ORMVA et l’ONCA, les mesures et actions de ce plan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gestion environnementale et sociale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 </w:t>
      </w:r>
      <w:r>
        <w:rPr>
          <w:rFonts w:ascii="Times New Roman,BoldItalic" w:hAnsi="Times New Roman,BoldItalic" w:eastAsia="Times New Roman,BoldItalic"/>
          <w:b/>
          <w:i/>
          <w:color w:val="000000"/>
          <w:sz w:val="24"/>
        </w:rPr>
        <w:t>PGES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 afin que le projet réponde à toutes les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exigences des sauvegardes opérationnelles environnementales et sociales (SO) de la Banque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et de la politique nationale et des exigences juridiques.</w:t>
      </w:r>
    </w:p>
    <w:p>
      <w:pPr>
        <w:autoSpaceDN w:val="0"/>
        <w:autoSpaceDE w:val="0"/>
        <w:widowControl/>
        <w:spacing w:line="276" w:lineRule="exact" w:before="276" w:after="0"/>
        <w:ind w:left="478" w:right="86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Lorsque le PGES fait référence à des plans spécifiques, qu'ils aient déjà été préparés ou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qu'ils soient à développer, le PGES exige le respect de toutes les dispositions obligatoires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 ces plans. </w:t>
      </w:r>
    </w:p>
    <w:p>
      <w:pPr>
        <w:autoSpaceDN w:val="0"/>
        <w:autoSpaceDE w:val="0"/>
        <w:widowControl/>
        <w:spacing w:line="276" w:lineRule="exact" w:before="276" w:after="0"/>
        <w:ind w:left="478" w:right="78" w:hanging="36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4.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 tableau ci-dessous résume les mesures et actions importantes requises, le fondement 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l'exigence, le calendrier pour la mise en œuvre de la mesure ou de l'action et les critères à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utiliser pour déterminer si la mesure ou l'action requise a été réalisée avec succès. Le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Ministère de l’Agriculture, de la Pèche Maritime, du Développement Rural et des Eaux et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Forêts, représenté par l’Agence pour le Développement Agricole, en collaboration avec les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DRAs/DPAs/ORMVA et l’ONCA, est responsable du respect de toutes les exigences du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PGES même lorsque la mise en œuvre de mesures et d'actions spécifiques est menée par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une entité différente de l'Unité de Gestion du Projet (UGP).</w:t>
      </w:r>
    </w:p>
    <w:p>
      <w:pPr>
        <w:autoSpaceDN w:val="0"/>
        <w:autoSpaceDE w:val="0"/>
        <w:widowControl/>
        <w:spacing w:line="276" w:lineRule="exact" w:before="276" w:after="0"/>
        <w:ind w:left="402" w:right="0" w:hanging="36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5.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 mise en œuvre des mesures et actions matérielles énoncées dans le présent PGES sera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surveillée et rapportée à la Banque par Le Ministère de l’Agriculture, de la Pèche Maritime, </w:t>
      </w:r>
    </w:p>
    <w:p>
      <w:pPr>
        <w:autoSpaceDN w:val="0"/>
        <w:autoSpaceDE w:val="0"/>
        <w:widowControl/>
        <w:spacing w:line="164" w:lineRule="exact" w:before="548" w:after="0"/>
        <w:ind w:left="118" w:right="106" w:firstLine="0"/>
        <w:jc w:val="both"/>
      </w:pPr>
      <w:r>
        <w:rPr>
          <w:rFonts w:ascii="Century Schoolbook" w:hAnsi="Century Schoolbook" w:eastAsia="Century Schoolbook"/>
          <w:b w:val="0"/>
          <w:i w:val="0"/>
          <w:color w:val="000000"/>
          <w:sz w:val="13"/>
        </w:rPr>
        <w:t>1</w:t>
      </w:r>
      <w:r>
        <w:rPr>
          <w:rFonts w:ascii="Times New Roman" w:hAnsi="Times New Roman" w:eastAsia="Times New Roman"/>
          <w:b w:val="0"/>
          <w:i w:val="0"/>
          <w:color w:val="000000"/>
          <w:sz w:val="14"/>
        </w:rPr>
        <w:t xml:space="preserve">Le PGES fait référence à tous les risques/impacts et mesures E&amp;S, tels qu’approuvés dans tous les documents E&amp;S divulgués et convenus entre la Banque et </w:t>
      </w:r>
      <w:r>
        <w:rPr>
          <w:rFonts w:ascii="Times New Roman" w:hAnsi="Times New Roman" w:eastAsia="Times New Roman"/>
          <w:b w:val="0"/>
          <w:i w:val="0"/>
          <w:color w:val="000000"/>
          <w:sz w:val="14"/>
        </w:rPr>
        <w:t xml:space="preserve">l’Emprunteur. Pour les projets impliquant plusieurs sous-projets identifiés, préparés et mis en œuvre au cours du projet, l'emprunteur devra démontrer à la Banque, </w:t>
      </w:r>
      <w:r>
        <w:rPr>
          <w:rFonts w:ascii="Times New Roman" w:hAnsi="Times New Roman" w:eastAsia="Times New Roman"/>
          <w:b w:val="0"/>
          <w:i w:val="0"/>
          <w:color w:val="000000"/>
          <w:sz w:val="14"/>
        </w:rPr>
        <w:t xml:space="preserve">avant l'évaluation du projet, en préparant la documentation E&amp;S d'un échantillon de sous-projets, qu'il a la capacité de réaliser une évaluation environnementale et </w:t>
      </w:r>
      <w:r>
        <w:rPr>
          <w:rFonts w:ascii="Times New Roman" w:hAnsi="Times New Roman" w:eastAsia="Times New Roman"/>
          <w:b w:val="0"/>
          <w:i w:val="0"/>
          <w:color w:val="000000"/>
          <w:sz w:val="14"/>
        </w:rPr>
        <w:t>sociale appropriée des sous-projets, et de préparer et mettre en œuvre ces sous-projets conformément aux lois nationales et aux SO. (</w:t>
      </w:r>
      <w:r>
        <w:rPr>
          <w:rFonts w:ascii="Times New Roman,BoldItalic" w:hAnsi="Times New Roman,BoldItalic" w:eastAsia="Times New Roman,BoldItalic"/>
          <w:b/>
          <w:i/>
          <w:color w:val="000000"/>
          <w:sz w:val="14"/>
        </w:rPr>
        <w:t xml:space="preserve">Section III.2.3 du PES de la </w:t>
      </w:r>
      <w:r>
        <w:rPr>
          <w:rFonts w:ascii="Times New Roman,BoldItalic" w:hAnsi="Times New Roman,BoldItalic" w:eastAsia="Times New Roman,BoldItalic"/>
          <w:b/>
          <w:i/>
          <w:color w:val="000000"/>
          <w:sz w:val="14"/>
        </w:rPr>
        <w:t>Banque et section D de la SO1</w:t>
      </w:r>
      <w:r>
        <w:rPr>
          <w:rFonts w:ascii="Times New Roman" w:hAnsi="Times New Roman" w:eastAsia="Times New Roman"/>
          <w:b w:val="0"/>
          <w:i w:val="0"/>
          <w:color w:val="000000"/>
          <w:sz w:val="14"/>
        </w:rPr>
        <w:t>)</w:t>
      </w:r>
    </w:p>
    <w:p>
      <w:pPr>
        <w:sectPr>
          <w:pgSz w:w="11906" w:h="16838"/>
          <w:pgMar w:top="846" w:right="1278" w:bottom="710" w:left="12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360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du Développement Rural et des Eaux et Forêts, représenté par l’Agence pour le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Développement Agricole comme l'exigent le PGES et les conditions de l'accord juridique,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et la Banque suivra et évaluera les progrès et l'achèvement des travaux les mesures et actions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tout au long de la mise en œuvre du Projet.</w:t>
      </w:r>
    </w:p>
    <w:p>
      <w:pPr>
        <w:autoSpaceDN w:val="0"/>
        <w:autoSpaceDE w:val="0"/>
        <w:widowControl/>
        <w:spacing w:line="276" w:lineRule="exact" w:before="276" w:after="0"/>
        <w:ind w:left="360" w:right="20" w:hanging="36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6.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Comme convenu par la Banque et Le Ministère de l’Agriculture, de la Pèche Maritime, du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Développement Rural et des Eaux et Forêts, représenté par l’Agence pour le Développement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Agricole, ce PGES peut être révisé de temps à autre </w:t>
      </w:r>
    </w:p>
    <w:p>
      <w:pPr>
        <w:autoSpaceDN w:val="0"/>
        <w:autoSpaceDE w:val="0"/>
        <w:widowControl/>
        <w:spacing w:line="276" w:lineRule="exact" w:before="670" w:after="0"/>
        <w:ind w:left="436" w:right="2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Pendant la mise en œuvre du projet, pour refléter la gestion adaptative des risques liés aux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changements du projet et aux circonstances imprévues ou en réponse à l'évaluation de la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performance du projet réalisée dans le cadre du PGES lui-même. Dans de telles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circonstances, Le Ministère de l’Agriculture, de la Pèche Maritime, du Développement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Rural et des Eaux et Forêts, représenté par l’Agence pour le Développement Agricole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proposera et acceptera des changements avec la Banque, puis mettra à jour le PGES pour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refléter ces changements.</w:t>
      </w:r>
    </w:p>
    <w:p>
      <w:pPr>
        <w:sectPr>
          <w:pgSz w:w="11906" w:h="16838"/>
          <w:pgMar w:top="710" w:right="1338" w:bottom="1440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838"/>
        <w:gridCol w:w="2838"/>
        <w:gridCol w:w="2838"/>
        <w:gridCol w:w="2838"/>
        <w:gridCol w:w="2838"/>
      </w:tblGrid>
      <w:tr>
        <w:trPr>
          <w:trHeight w:hRule="exact" w:val="984"/>
        </w:trPr>
        <w:tc>
          <w:tcPr>
            <w:tcW w:type="dxa" w:w="623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Actions matérielles 2pour gérer les risques et impacts E&amp;S du projet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Base du besoin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432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Indicateur de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performance clé</w:t>
            </w:r>
          </w:p>
        </w:tc>
        <w:tc>
          <w:tcPr>
            <w:tcW w:type="dxa" w:w="27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Calendrier/ Délai indicatif</w:t>
            </w:r>
          </w:p>
        </w:tc>
      </w:tr>
      <w:tr>
        <w:trPr>
          <w:trHeight w:hRule="exact" w:val="2202"/>
        </w:trPr>
        <w:tc>
          <w:tcPr>
            <w:tcW w:type="dxa" w:w="623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Rapport périodique de mise en œuvre E&amp;S à la Banque 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" w:val="left"/>
                <w:tab w:pos="492" w:val="left"/>
                <w:tab w:pos="612" w:val="left"/>
              </w:tabs>
              <w:autoSpaceDE w:val="0"/>
              <w:widowControl/>
              <w:spacing w:line="240" w:lineRule="exact" w:before="0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PES de la Banque et SO1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Réglementation nationale en </w:t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matière d’évaluation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environnementale 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Le Rapport trimestriel de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mise en œuvre E&amp;S et 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rapport d’audit annuel de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performance E&amp;S sont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soumis à temps et de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bonne qualité, Tout au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long de la mise en œuvre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du projet </w:t>
            </w:r>
          </w:p>
        </w:tc>
        <w:tc>
          <w:tcPr>
            <w:tcW w:type="dxa" w:w="27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Le Rapport trimestriel de mise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 œuvre E&amp;S : Deux semaines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après le délai requis pour le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rapport trimestriel de mise 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œuvre E&amp;S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le rapport d’audit annuel de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performance E&amp;S : la fin du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premier trimestre de chaque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année de mise en œuvre </w:t>
            </w:r>
          </w:p>
        </w:tc>
      </w:tr>
      <w:tr>
        <w:trPr>
          <w:trHeight w:hRule="exact" w:val="742"/>
        </w:trPr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527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44" w:right="144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Recrutement de spécialistes E&amp;S au sein de la cellule de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mise en œuvre du Projet 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ESES publiée, SO1 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Présence de spécialistes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E&amp;S en appui à l’unité de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gestion de projet </w:t>
            </w:r>
          </w:p>
        </w:tc>
        <w:tc>
          <w:tcPr>
            <w:tcW w:type="dxa" w:w="27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Pendant la première année du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programme </w:t>
            </w:r>
          </w:p>
        </w:tc>
      </w:tr>
      <w:tr>
        <w:trPr>
          <w:trHeight w:hRule="exact" w:val="496"/>
        </w:trPr>
        <w:tc>
          <w:tcPr>
            <w:tcW w:type="dxa" w:w="96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52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2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Création du mécanisme de règlement des griefs du projet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(MGP) et divulgation au public </w:t>
            </w:r>
          </w:p>
        </w:tc>
        <w:tc>
          <w:tcPr>
            <w:tcW w:type="dxa" w:w="276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288" w:right="288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SO1, SO10 et exigences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nationales</w:t>
            </w:r>
          </w:p>
        </w:tc>
        <w:tc>
          <w:tcPr>
            <w:tcW w:type="dxa" w:w="2370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Elaboration et mise 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œuvre du MGP </w:t>
            </w:r>
          </w:p>
        </w:tc>
        <w:tc>
          <w:tcPr>
            <w:tcW w:type="dxa" w:w="27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Le premier semestre suivant 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lancement du projet </w:t>
            </w:r>
          </w:p>
        </w:tc>
      </w:tr>
      <w:tr>
        <w:trPr>
          <w:trHeight w:hRule="exact" w:val="740"/>
        </w:trPr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5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2" w:right="86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Paiement des indemnisations et réinstallation des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personnes sinistrées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0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SO5 et exigences nationales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en la matière 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 </w:t>
            </w:r>
          </w:p>
        </w:tc>
        <w:tc>
          <w:tcPr>
            <w:tcW w:type="dxa" w:w="27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738"/>
        </w:trPr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5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02" w:right="576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Intégration de mesures E&amp;S spécifiques au site dans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l'appel d'offres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SO1 et exigences nationales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Mesures E&amp;S incluses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dans les dossiers d’appels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d’offres si applicable </w:t>
            </w:r>
          </w:p>
        </w:tc>
        <w:tc>
          <w:tcPr>
            <w:tcW w:type="dxa" w:w="27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432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Si applicable avant 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lancement de l’AO </w:t>
            </w:r>
          </w:p>
        </w:tc>
      </w:tr>
      <w:tr>
        <w:trPr>
          <w:trHeight w:hRule="exact" w:val="500"/>
        </w:trPr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5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Soumission du PGES de l'entrepreneur pour les activités à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haut risque (PGES-C) à l'autorisation de la Banque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PES de la Banque et SO1 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 </w:t>
            </w:r>
          </w:p>
        </w:tc>
        <w:tc>
          <w:tcPr>
            <w:tcW w:type="dxa" w:w="27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740"/>
        </w:trPr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5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Mise en place du mécanisme de gestion des plaintes (MGP)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de l'entrepreneur et information des travailleurs 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00" w:right="28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SO1, SO2 et Politique de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diffusion et d’accès à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l’information de la Banque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Rapportage d’indicateurs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clés de mise en œuvre du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MGP </w:t>
            </w:r>
          </w:p>
        </w:tc>
        <w:tc>
          <w:tcPr>
            <w:tcW w:type="dxa" w:w="27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Rapporter dans les rapports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E&amp;S mise en œuvre, tout au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long du projet </w:t>
            </w:r>
          </w:p>
        </w:tc>
      </w:tr>
      <w:tr>
        <w:trPr>
          <w:trHeight w:hRule="exact" w:val="986"/>
        </w:trPr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7 </w:t>
            </w:r>
          </w:p>
        </w:tc>
        <w:tc>
          <w:tcPr>
            <w:tcW w:type="dxa" w:w="5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Obtention des autorisations requises au niveau national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avant le début des activités soumises (excavations, abattage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d'arbres, travaux en hauteur, travaux en espaces confinés,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etc.)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0" w:right="576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SO1, SO2 et législation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nationale du travail 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Preuves que toutes les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autorisations requises sont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obtenues si applicable </w:t>
            </w:r>
          </w:p>
        </w:tc>
        <w:tc>
          <w:tcPr>
            <w:tcW w:type="dxa" w:w="27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Tout au long du projet et avant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démarrage des activités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assujettis </w:t>
            </w:r>
          </w:p>
        </w:tc>
      </w:tr>
    </w:tbl>
    <w:p>
      <w:pPr>
        <w:autoSpaceDN w:val="0"/>
        <w:autoSpaceDE w:val="0"/>
        <w:widowControl/>
        <w:spacing w:line="208" w:lineRule="exact" w:before="716" w:after="0"/>
        <w:ind w:left="0" w:right="0" w:firstLine="0"/>
        <w:jc w:val="left"/>
      </w:pPr>
      <w:r>
        <w:rPr>
          <w:rFonts w:ascii="Century Schoolbook" w:hAnsi="Century Schoolbook" w:eastAsia="Century Schoolbook"/>
          <w:b w:val="0"/>
          <w:i w:val="0"/>
          <w:color w:val="000000"/>
          <w:sz w:val="13"/>
        </w:rPr>
        <w:t>2</w:t>
      </w:r>
      <w:r>
        <w:rPr>
          <w:rFonts w:ascii="Times New Roman" w:hAnsi="Times New Roman" w:eastAsia="Times New Roman"/>
          <w:b w:val="0"/>
          <w:i w:val="0"/>
          <w:color w:val="000000"/>
          <w:sz w:val="14"/>
        </w:rPr>
        <w:t>Veuillez ajouter toute action clé pertinente et/ou indiquer « Non applicable » dans la troisième colonne (« Base des exigences ») pour les actions qui ne sont pas applicables au projet</w:t>
      </w:r>
    </w:p>
    <w:p>
      <w:pPr>
        <w:sectPr>
          <w:pgSz w:w="16838" w:h="11906"/>
          <w:pgMar w:top="708" w:right="1232" w:bottom="71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838"/>
        <w:gridCol w:w="2838"/>
        <w:gridCol w:w="2838"/>
        <w:gridCol w:w="2838"/>
        <w:gridCol w:w="2838"/>
      </w:tblGrid>
      <w:tr>
        <w:trPr>
          <w:trHeight w:hRule="exact" w:val="984"/>
        </w:trPr>
        <w:tc>
          <w:tcPr>
            <w:tcW w:type="dxa" w:w="623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Actions matérielles 2pour gérer les risques et impacts E&amp;S du projet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Base du besoin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432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Indicateur de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performance clé</w:t>
            </w:r>
          </w:p>
        </w:tc>
        <w:tc>
          <w:tcPr>
            <w:tcW w:type="dxa" w:w="27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Calendrier/ Délai indicatif</w:t>
            </w:r>
          </w:p>
        </w:tc>
      </w:tr>
      <w:tr>
        <w:trPr>
          <w:trHeight w:hRule="exact" w:val="984"/>
        </w:trPr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8 </w:t>
            </w:r>
          </w:p>
        </w:tc>
        <w:tc>
          <w:tcPr>
            <w:tcW w:type="dxa" w:w="5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43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Préparation, approbation et publication de documents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E&amp;S spécifiques pendant la mise en œuvre du projet, y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compris l'examen préalable des termes de référence de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catégorie 1 par la Banque.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288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PES de la Banque, SO1 et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règlementation nationale 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 </w:t>
            </w:r>
          </w:p>
        </w:tc>
        <w:tc>
          <w:tcPr>
            <w:tcW w:type="dxa" w:w="27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1716"/>
        </w:trPr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9 </w:t>
            </w:r>
          </w:p>
        </w:tc>
        <w:tc>
          <w:tcPr>
            <w:tcW w:type="dxa" w:w="5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02" w:right="43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Engagement avec les parties prenantes concernées par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chaque activité E&amp;S spécifique pertinente 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00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SO1, SO10, Politique de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diffusion et d’accès à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l’information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Réglementations nationales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en matière d’enquête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publique et diffusion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d’information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Plan de participation des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parties prenantes élaboré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et mis en œuvre </w:t>
            </w:r>
          </w:p>
        </w:tc>
        <w:tc>
          <w:tcPr>
            <w:tcW w:type="dxa" w:w="27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Tout au long du projet </w:t>
            </w:r>
          </w:p>
        </w:tc>
      </w:tr>
      <w:tr>
        <w:trPr>
          <w:trHeight w:hRule="exact" w:val="1224"/>
        </w:trPr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5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2" w:right="72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Mise en place d'un mécanisme de préparation et de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réponse aux situations d'urgence 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0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SO1 et SO4, règlementation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nationale sur la gestion des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catastrophes et protection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civile 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 </w:t>
            </w:r>
          </w:p>
        </w:tc>
        <w:tc>
          <w:tcPr>
            <w:tcW w:type="dxa" w:w="27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500"/>
        </w:trPr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11 </w:t>
            </w:r>
          </w:p>
        </w:tc>
        <w:tc>
          <w:tcPr>
            <w:tcW w:type="dxa" w:w="5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Traitement approprié et opportun des plaintes/griefs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288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PES de la Banque et SO1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Réglementation nationale 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Rapport régulier de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gestion des griefs </w:t>
            </w:r>
          </w:p>
        </w:tc>
        <w:tc>
          <w:tcPr>
            <w:tcW w:type="dxa" w:w="27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Tout au long de la mise 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œuvre du projet </w:t>
            </w:r>
          </w:p>
        </w:tc>
      </w:tr>
      <w:tr>
        <w:trPr>
          <w:trHeight w:hRule="exact" w:val="740"/>
        </w:trPr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12 </w:t>
            </w:r>
          </w:p>
        </w:tc>
        <w:tc>
          <w:tcPr>
            <w:tcW w:type="dxa" w:w="5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2" w:right="576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Notification aux riverains ou alerte aux populations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exposées en aval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PES de la Banque et SO1,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Traité/Convention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international ratifié pertinent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 </w:t>
            </w:r>
          </w:p>
        </w:tc>
        <w:tc>
          <w:tcPr>
            <w:tcW w:type="dxa" w:w="27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496"/>
        </w:trPr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13 </w:t>
            </w:r>
          </w:p>
        </w:tc>
        <w:tc>
          <w:tcPr>
            <w:tcW w:type="dxa" w:w="5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2" w:right="28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Renforcement des capacités des principaux responsables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de la mise en œuvre du projet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SO1 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Plan de formation mis 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œuvre </w:t>
            </w:r>
          </w:p>
        </w:tc>
        <w:tc>
          <w:tcPr>
            <w:tcW w:type="dxa" w:w="27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tout le long de la mise 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oeuvre du projet </w:t>
            </w:r>
          </w:p>
        </w:tc>
      </w:tr>
      <w:tr>
        <w:trPr>
          <w:trHeight w:hRule="exact" w:val="986"/>
        </w:trPr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52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Mise en œuvre du SGES/PAES3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0" w:right="72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SO1 et SO9, exigences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nationales en matière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d’évaluation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environnementale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 </w:t>
            </w:r>
          </w:p>
        </w:tc>
        <w:tc>
          <w:tcPr>
            <w:tcW w:type="dxa" w:w="278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252"/>
        </w:trPr>
        <w:tc>
          <w:tcPr>
            <w:tcW w:type="dxa" w:w="9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14.1 </w:t>
            </w:r>
          </w:p>
        </w:tc>
        <w:tc>
          <w:tcPr>
            <w:tcW w:type="dxa" w:w="527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Approbation de toute procédure de gestion E&amp;S requise</w:t>
            </w:r>
          </w:p>
        </w:tc>
        <w:tc>
          <w:tcPr>
            <w:tcW w:type="dxa" w:w="276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Idem</w:t>
            </w:r>
          </w:p>
        </w:tc>
        <w:tc>
          <w:tcPr>
            <w:tcW w:type="dxa" w:w="23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 </w:t>
            </w:r>
          </w:p>
        </w:tc>
        <w:tc>
          <w:tcPr>
            <w:tcW w:type="dxa" w:w="278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256"/>
        </w:trPr>
        <w:tc>
          <w:tcPr>
            <w:tcW w:type="dxa" w:w="96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14.2 </w:t>
            </w:r>
          </w:p>
        </w:tc>
        <w:tc>
          <w:tcPr>
            <w:tcW w:type="dxa" w:w="527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Création de la cellule E&amp;S</w:t>
            </w:r>
          </w:p>
        </w:tc>
        <w:tc>
          <w:tcPr>
            <w:tcW w:type="dxa" w:w="276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Idem</w:t>
            </w:r>
          </w:p>
        </w:tc>
        <w:tc>
          <w:tcPr>
            <w:tcW w:type="dxa" w:w="2370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 </w:t>
            </w:r>
          </w:p>
        </w:tc>
        <w:tc>
          <w:tcPr>
            <w:tcW w:type="dxa" w:w="278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254"/>
        </w:trPr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14.3 </w:t>
            </w:r>
          </w:p>
        </w:tc>
        <w:tc>
          <w:tcPr>
            <w:tcW w:type="dxa" w:w="5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Renforcement des capacités de l'unité E&amp;S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Idem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 </w:t>
            </w:r>
          </w:p>
        </w:tc>
        <w:tc>
          <w:tcPr>
            <w:tcW w:type="dxa" w:w="27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</w:tbl>
    <w:p>
      <w:pPr>
        <w:autoSpaceDN w:val="0"/>
        <w:autoSpaceDE w:val="0"/>
        <w:widowControl/>
        <w:spacing w:line="208" w:lineRule="exact" w:before="450" w:after="0"/>
        <w:ind w:left="0" w:right="0" w:firstLine="0"/>
        <w:jc w:val="left"/>
      </w:pPr>
      <w:r>
        <w:rPr>
          <w:rFonts w:ascii="Century Schoolbook" w:hAnsi="Century Schoolbook" w:eastAsia="Century Schoolbook"/>
          <w:b w:val="0"/>
          <w:i w:val="0"/>
          <w:color w:val="000000"/>
          <w:sz w:val="13"/>
        </w:rPr>
        <w:t>3</w:t>
      </w:r>
      <w:r>
        <w:rPr>
          <w:rFonts w:ascii="Times New Roman" w:hAnsi="Times New Roman" w:eastAsia="Times New Roman"/>
          <w:b w:val="0"/>
          <w:i w:val="0"/>
          <w:color w:val="000000"/>
          <w:sz w:val="14"/>
        </w:rPr>
        <w:t>Postuler aux opérations non souveraines et aux projets du secteur public mis en œuvre par une agence/institution permanente/autonome</w:t>
      </w:r>
    </w:p>
    <w:p>
      <w:pPr>
        <w:sectPr>
          <w:pgSz w:w="16838" w:h="11906"/>
          <w:pgMar w:top="708" w:right="1232" w:bottom="716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838"/>
        <w:gridCol w:w="2838"/>
        <w:gridCol w:w="2838"/>
        <w:gridCol w:w="2838"/>
        <w:gridCol w:w="2838"/>
      </w:tblGrid>
      <w:tr>
        <w:trPr>
          <w:trHeight w:hRule="exact" w:val="984"/>
        </w:trPr>
        <w:tc>
          <w:tcPr>
            <w:tcW w:type="dxa" w:w="623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Actions matérielles 2pour gérer les risques et impacts E&amp;S du projet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Base du besoin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432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Indicateur de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performance clé</w:t>
            </w:r>
          </w:p>
        </w:tc>
        <w:tc>
          <w:tcPr>
            <w:tcW w:type="dxa" w:w="27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Calendrier/ Délai indicatif</w:t>
            </w:r>
          </w:p>
        </w:tc>
      </w:tr>
      <w:tr>
        <w:trPr>
          <w:trHeight w:hRule="exact" w:val="254"/>
        </w:trPr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14.4 </w:t>
            </w:r>
          </w:p>
        </w:tc>
        <w:tc>
          <w:tcPr>
            <w:tcW w:type="dxa" w:w="5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Traiter la due diligence E&amp;S de la chaîne de valeur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Idem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 </w:t>
            </w:r>
          </w:p>
        </w:tc>
        <w:tc>
          <w:tcPr>
            <w:tcW w:type="dxa" w:w="27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986"/>
        </w:trPr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5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43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Suspendre les travaux en cas de risque ou d'incident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EOHS, en informer immédiatement la Banque et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reprendre les travaux uniquement sans objection de la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Banque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00" w:right="43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PES de la Banque et SO1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exigences nationales en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matière du travail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Notification de l’incident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à la Banque </w:t>
            </w:r>
          </w:p>
        </w:tc>
        <w:tc>
          <w:tcPr>
            <w:tcW w:type="dxa" w:w="27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Notification de l’incident à la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Banque Immédiatement et au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plus tard dans les 7 jours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suivant l’incident </w:t>
            </w:r>
          </w:p>
        </w:tc>
      </w:tr>
      <w:tr>
        <w:trPr>
          <w:trHeight w:hRule="exact" w:val="740"/>
        </w:trPr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5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02" w:right="43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Préparer l’analyse des causes profondes (ACP) de tout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incident EHSST mortel et mettre en œuvre le plan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d’actions correctives (PAC).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PES de la Banque et SO1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Rapport préparé et soumis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à la Banque </w:t>
            </w:r>
          </w:p>
        </w:tc>
        <w:tc>
          <w:tcPr>
            <w:tcW w:type="dxa" w:w="27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Un mois après l’incident </w:t>
            </w:r>
          </w:p>
        </w:tc>
      </w:tr>
      <w:tr>
        <w:trPr>
          <w:trHeight w:hRule="exact" w:val="1694"/>
        </w:trPr>
        <w:tc>
          <w:tcPr>
            <w:tcW w:type="dxa" w:w="9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52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Divulgation des rapports E&amp;S du projet au public 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100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SO1, SO10 et Politique de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diffusion et d’accès à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l’information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Réglementations nationales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en matière d’enquête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 xml:space="preserve">publique et diffusion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0"/>
              </w:rPr>
              <w:t>d’information</w:t>
            </w:r>
          </w:p>
        </w:tc>
        <w:tc>
          <w:tcPr>
            <w:tcW w:type="dxa" w:w="23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Rapports E&amp;S disponibles </w:t>
            </w:r>
          </w:p>
        </w:tc>
        <w:tc>
          <w:tcPr>
            <w:tcW w:type="dxa" w:w="278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Tout au long de la mise 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œuvre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708" w:right="1232" w:bottom="1440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