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41780" cy="10947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094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3" w:lineRule="auto" w:before="88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p>
      <w:pPr>
        <w:sectPr>
          <w:pgSz w:w="11906" w:h="16838"/>
          <w:pgMar w:top="354" w:right="1440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41780" cy="10947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094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2" w:after="0"/>
        <w:ind w:left="360" w:right="30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 2023, nous avons poursuivi les initiatives visant à accompagner la digitalisation des </w:t>
      </w:r>
    </w:p>
    <w:sectPr w:rsidR="00FC693F" w:rsidRPr="0006063C" w:rsidSect="00034616">
      <w:pgSz w:w="11906" w:h="16838"/>
      <w:pgMar w:top="35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