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p>
      <w:pPr>
        <w:sectPr>
          <w:pgSz w:w="16840" w:h="11900"/>
          <w:pgMar w:top="226" w:right="290" w:bottom="336" w:left="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32" w:lineRule="exact" w:before="44" w:after="34"/>
        <w:ind w:left="170" w:right="864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La Direction du Trésor et des Finances Extérieures annonce aux investisseurs qu'il sera procédé à une opération d'échange de titres, par appel d'offres, dans les conditions </w:t>
      </w:r>
    </w:p>
    <w:p>
      <w:pPr>
        <w:sectPr>
          <w:pgSz w:w="16840" w:h="11900"/>
          <w:pgMar w:top="184" w:right="290" w:bottom="336" w:left="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32" w:lineRule="exact" w:before="44" w:after="34"/>
        <w:ind w:left="170" w:right="864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La Direction du Trésor et des Finances Extérieures annonce aux investisseurs qu'il sera procédé à une opération d'échange de titres, par appel d'offres, dans les conditions </w:t>
      </w:r>
    </w:p>
    <w:sectPr w:rsidR="00FC693F" w:rsidRPr="0006063C" w:rsidSect="00034616">
      <w:pgSz w:w="16840" w:h="11900"/>
      <w:pgMar w:top="184" w:right="290" w:bottom="326" w:left="3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