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16"/>
        <w:ind w:left="0" w:right="0"/>
      </w:pPr>
    </w:p>
    <w:p>
      <w:pPr>
        <w:sectPr>
          <w:pgSz w:w="11906" w:h="16838"/>
          <w:pgMar w:top="1440" w:right="538" w:bottom="488" w:left="56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56" w:lineRule="exact" w:before="0" w:after="0"/>
        <w:ind w:left="0" w:right="0" w:firstLine="0"/>
        <w:jc w:val="left"/>
      </w:pPr>
      <w:r>
        <w:rPr>
          <w:rFonts w:ascii="GretaTextPro" w:hAnsi="GretaTextPro" w:eastAsia="GretaTextPro"/>
          <w:b/>
          <w:i w:val="0"/>
        </w:rPr>
        <w:t>COMMUNIQUE DE PRESSE</w:t>
      </w:r>
    </w:p>
    <w:sectPr w:rsidR="00FC693F" w:rsidRPr="0006063C" w:rsidSect="00034616">
      <w:type w:val="continuous"/>
      <w:pgSz w:w="11906" w:h="16838"/>
      <w:pgMar w:top="1440" w:right="538" w:bottom="488" w:left="566" w:header="720" w:footer="720" w:gutter="0"/>
      <w:cols w:num="2" w:equalWidth="0">
        <w:col w:w="5294" w:space="0"/>
        <w:col w:w="55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