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p>
      <w:pPr>
        <w:sectPr>
          <w:pgSz w:w="11906" w:h="16838"/>
          <w:pgMar w:top="768" w:right="1336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262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>-</w:t>
      </w:r>
    </w:p>
    <w:p>
      <w:pPr>
        <w:sectPr>
          <w:pgSz w:w="11906" w:h="16838"/>
          <w:pgMar w:top="708" w:right="1336" w:bottom="490" w:left="13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investisseurs se sont orientées particulièrement vers les catégories « obligations à court terme » </w:t>
      </w:r>
    </w:p>
    <w:sectPr w:rsidR="00FC693F" w:rsidRPr="0006063C" w:rsidSect="00034616">
      <w:pgSz w:w="11906" w:h="16838"/>
      <w:pgMar w:top="710" w:right="1336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