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338" w:right="0" w:firstLine="0"/>
        <w:jc w:val="left"/>
      </w:pPr>
      <w:r>
        <w:rPr>
          <w:rFonts w:ascii="Helvetica" w:hAnsi="Helvetica" w:eastAsia="Helvetica"/>
          <w:b/>
          <w:i w:val="0"/>
        </w:rPr>
        <w:t>Royaume du Maroc</w:t>
      </w:r>
    </w:p>
    <w:p>
      <w:pPr>
        <w:sectPr>
          <w:pgSz w:w="16840" w:h="11900"/>
          <w:pgMar w:top="226" w:right="290" w:bottom="336" w:left="3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32" w:lineRule="exact" w:before="44" w:after="34"/>
        <w:ind w:left="170" w:right="864" w:firstLine="0"/>
        <w:jc w:val="left"/>
      </w:pPr>
      <w:r>
        <w:rPr>
          <w:rFonts w:ascii="Helvetica" w:hAnsi="Helvetica" w:eastAsia="Helvetica"/>
          <w:b w:val="0"/>
          <w:i w:val="0"/>
        </w:rPr>
        <w:t xml:space="preserve">La Direction du Trésor et des Finances Extérieures annonce aux investisseurs qu'il sera procédé à une opération d'échange de titres, par appel d'offres, dans les conditions </w:t>
      </w:r>
    </w:p>
    <w:sectPr w:rsidR="00FC693F" w:rsidRPr="0006063C" w:rsidSect="00034616">
      <w:pgSz w:w="16840" w:h="11900"/>
      <w:pgMar w:top="184" w:right="290" w:bottom="326" w:left="3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