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8"/>
        <w:ind w:left="0" w:right="0"/>
      </w:pPr>
    </w:p>
    <w:p>
      <w:pPr>
        <w:autoSpaceDN w:val="0"/>
        <w:autoSpaceDE w:val="0"/>
        <w:widowControl/>
        <w:spacing w:line="958" w:lineRule="exact" w:before="0" w:after="0"/>
        <w:ind w:left="0" w:right="0" w:firstLine="0"/>
        <w:jc w:val="left"/>
      </w:pPr>
      <w:r>
        <w:rPr>
          <w:rFonts w:ascii="AdobeArabic" w:hAnsi="AdobeArabic" w:eastAsia="AdobeArabic"/>
          <w:b/>
          <w:i w:val="0"/>
        </w:rPr>
        <w:t>Communiqué de presse</w:t>
      </w:r>
    </w:p>
    <w:sectPr w:rsidR="00FC693F" w:rsidRPr="0006063C" w:rsidSect="00034616">
      <w:pgSz w:w="11906" w:h="16838"/>
      <w:pgMar w:top="1286" w:right="632" w:bottom="436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