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.000000000000007" w:type="dxa"/>
      </w:tblPr>
      <w:tblGrid>
        <w:gridCol w:w="11438"/>
      </w:tblGrid>
      <w:tr>
        <w:trPr>
          <w:trHeight w:hRule="exact" w:val="16314"/>
        </w:trPr>
        <w:tc>
          <w:tcPr>
            <w:tcW w:type="dxa" w:w="11402"/>
            <w:tcBorders>
              <w:start w:sz="6.679999828338623" w:val="single" w:color="#48166C"/>
              <w:top w:sz="6.679999828338623" w:val="single" w:color="#48166C"/>
              <w:end w:sz="6.679999828338623" w:val="single" w:color="#48166C"/>
              <w:bottom w:sz="6.679999828338623" w:val="single" w:color="#481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3690" w:after="0"/>
              <w:ind w:left="590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</w:rPr>
              <w:t>COMMUNIQUE DE PRESSE</w:t>
            </w:r>
          </w:p>
        </w:tc>
      </w:tr>
    </w:tbl>
    <w:sectPr w:rsidR="00FC693F" w:rsidRPr="0006063C" w:rsidSect="00034616">
      <w:pgSz w:w="11906" w:h="16838"/>
      <w:pgMar w:top="122" w:right="224" w:bottom="122" w:left="2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