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5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 xml:space="preserve">Bank Al-Maghrib investit dans des obligations de développement durable de la </w:t>
      </w:r>
    </w:p>
    <w:p>
      <w:pPr>
        <w:sectPr>
          <w:pgSz w:w="12240" w:h="15840"/>
          <w:pgMar w:top="768" w:right="1354" w:bottom="9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Les obligations arrivent à échéance le 6 octobre 2026 et le 6 octobre 2028. </w:t>
      </w:r>
    </w:p>
    <w:p>
      <w:pPr>
        <w:sectPr>
          <w:pgSz w:w="12240" w:h="15840"/>
          <w:pgMar w:top="710" w:right="1356" w:bottom="8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2" w:firstLine="0"/>
        <w:jc w:val="both"/>
      </w:pPr>
      <w:r>
        <w:rPr>
          <w:rFonts w:ascii="Calibri" w:hAnsi="Calibri" w:eastAsia="Calibri"/>
          <w:b w:val="0"/>
          <w:i w:val="0"/>
        </w:rPr>
        <w:t xml:space="preserve">mondiale sur les marchés de capitaux consiste à établir des partenariats </w:t>
      </w:r>
    </w:p>
    <w:sectPr w:rsidR="00FC693F" w:rsidRPr="0006063C" w:rsidSect="00034616">
      <w:pgSz w:w="12240" w:h="15840"/>
      <w:pgMar w:top="710" w:right="1354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