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tabs>
          <w:tab w:pos="10262" w:val="left"/>
        </w:tabs>
        <w:autoSpaceDE w:val="0"/>
        <w:widowControl/>
        <w:spacing w:line="240" w:lineRule="auto" w:before="0" w:after="0"/>
        <w:ind w:left="698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22960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457200" cy="6896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9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90"/>
        <w:sectPr>
          <w:pgSz w:w="11906" w:h="16838"/>
          <w:pgMar w:top="17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284" w:right="144" w:firstLine="0"/>
        <w:jc w:val="left"/>
      </w:pPr>
      <w:r>
        <w:rPr>
          <w:rFonts w:ascii="Inter" w:hAnsi="Inter" w:eastAsia="Inter"/>
          <w:b/>
          <w:i w:val="0"/>
        </w:rPr>
        <w:t xml:space="preserve">JOURNÉES INTERNATIONALES DE </w:t>
      </w:r>
    </w:p>
    <w:sectPr w:rsidR="00FC693F" w:rsidRPr="0006063C" w:rsidSect="00034616">
      <w:type w:val="continuous"/>
      <w:pgSz w:w="11906" w:h="16838"/>
      <w:pgMar w:top="170" w:right="0" w:bottom="0" w:left="0" w:header="720" w:footer="720" w:gutter="0"/>
      <w:cols w:num="2" w:equalWidth="0">
        <w:col w:w="5054" w:space="0"/>
        <w:col w:w="685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