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14"/>
        <w:ind w:left="0" w:right="0"/>
      </w:pPr>
    </w:p>
    <w:p>
      <w:pPr>
        <w:autoSpaceDN w:val="0"/>
        <w:autoSpaceDE w:val="0"/>
        <w:widowControl/>
        <w:spacing w:line="842" w:lineRule="exact" w:before="0" w:after="0"/>
        <w:ind w:left="424" w:right="0" w:firstLine="0"/>
        <w:jc w:val="left"/>
      </w:pPr>
      <w:r>
        <w:rPr>
          <w:rFonts w:ascii="MyriadPro" w:hAnsi="MyriadPro" w:eastAsia="MyriadPro"/>
          <w:b/>
          <w:i w:val="0"/>
        </w:rPr>
        <w:t>COMMUNIQUE DE PRESSE</w:t>
      </w:r>
    </w:p>
    <w:p>
      <w:pPr>
        <w:sectPr>
          <w:pgSz w:w="11906" w:h="15987"/>
          <w:pgMar w:top="1440" w:right="528" w:bottom="120" w:left="5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5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center"/>
      </w:pPr>
      <w:r>
        <w:rPr>
          <w:rFonts w:ascii="Almarai" w:hAnsi="Almarai" w:eastAsia="Almarai"/>
          <w:b/>
          <w:i w:val="0"/>
        </w:rPr>
        <w:t>بنك المغرب يتخذ إجراءات لضمان تزويد الشبابيك البنكية</w:t>
      </w:r>
    </w:p>
    <w:sectPr w:rsidR="00FC693F" w:rsidRPr="0006063C" w:rsidSect="00034616">
      <w:pgSz w:w="11906" w:h="6293"/>
      <w:pgMar w:top="1440" w:right="826" w:bottom="192" w:left="11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