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3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958"/>
      </w:tblGrid>
      <w:tr>
        <w:trPr>
          <w:trHeight w:hRule="exact" w:val="10538"/>
        </w:trPr>
        <w:tc>
          <w:tcPr>
            <w:tcW w:type="dxa" w:w="16838"/>
            <w:tcBorders/>
            <w:shd w:fill="159e6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054" w:after="0"/>
              <w:ind w:left="720" w:right="8602" w:firstLine="0"/>
              <w:jc w:val="both"/>
            </w:pPr>
            <w:r>
              <w:rPr>
                <w:rFonts w:ascii="OpenSans" w:hAnsi="OpenSans" w:eastAsia="OpenSans"/>
                <w:b/>
                <w:i w:val="0"/>
              </w:rPr>
              <w:t xml:space="preserve">Bank Al-Maghrib organise à son agence de Casablanca </w:t>
            </w:r>
          </w:p>
        </w:tc>
      </w:tr>
    </w:tbl>
    <w:sectPr w:rsidR="00FC693F" w:rsidRPr="0006063C" w:rsidSect="00034616">
      <w:pgSz w:w="16838" w:h="12869"/>
      <w:pgMar w:top="1156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