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8" w:lineRule="exact" w:before="0" w:after="0"/>
        <w:ind w:left="0" w:right="0"/>
      </w:pPr>
    </w:p>
    <w:p>
      <w:pPr>
        <w:autoSpaceDN w:val="0"/>
        <w:autoSpaceDE w:val="0"/>
        <w:widowControl/>
        <w:spacing w:line="316" w:lineRule="exact" w:before="0" w:after="0"/>
        <w:ind w:left="0" w:right="338" w:firstLine="0"/>
        <w:jc w:val="right"/>
      </w:pPr>
      <w:r>
        <w:rPr>
          <w:rFonts w:ascii="Economica" w:hAnsi="Economica" w:eastAsia="Economica"/>
          <w:b/>
          <w:i w:val="0"/>
        </w:rPr>
        <w:t xml:space="preserve">Célébration de la Journée Arabe de l’Inclusion Financière sous le thème : </w:t>
      </w:r>
    </w:p>
    <w:sectPr w:rsidR="00FC693F" w:rsidRPr="0006063C" w:rsidSect="00034616">
      <w:pgSz w:w="11906" w:h="16838"/>
      <w:pgMar w:top="86" w:right="630" w:bottom="220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