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6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35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676400" cy="10960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0960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2" w:lineRule="auto" w:before="1046" w:after="0"/>
        <w:ind w:left="0" w:right="0" w:firstLine="0"/>
        <w:jc w:val="center"/>
      </w:pPr>
      <w:r>
        <w:rPr>
          <w:rFonts w:ascii="Bookman Old Style" w:hAnsi="Bookman Old Style" w:eastAsia="Bookman Old Style"/>
          <w:b/>
          <w:i w:val="0"/>
        </w:rPr>
        <w:t>11</w:t>
      </w:r>
    </w:p>
    <w:p>
      <w:pPr>
        <w:sectPr>
          <w:pgSz w:w="11906" w:h="16838"/>
          <w:pgMar w:top="888" w:right="1278" w:bottom="1340" w:left="137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360" w:lineRule="auto" w:before="0" w:after="0"/>
        <w:ind w:left="0" w:right="5616" w:firstLine="0"/>
        <w:jc w:val="left"/>
      </w:pPr>
      <w:r>
        <w:rPr>
          <w:rFonts w:ascii="Garamond" w:hAnsi="Garamond" w:eastAsia="Garamond"/>
          <w:b/>
          <w:i w:val="0"/>
        </w:rPr>
        <w:t xml:space="preserve">Chers amis, chers collègues, </w:t>
      </w:r>
    </w:p>
    <w:p>
      <w:pPr>
        <w:sectPr>
          <w:pgSz w:w="11906" w:h="16838"/>
          <w:pgMar w:top="708" w:right="1320" w:bottom="266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439" w:lineRule="auto" w:before="0" w:after="0"/>
        <w:ind w:left="0" w:right="20" w:firstLine="0"/>
        <w:jc w:val="both"/>
      </w:pPr>
      <w:r>
        <w:rPr>
          <w:rFonts w:ascii="Garamond" w:hAnsi="Garamond" w:eastAsia="Garamond"/>
          <w:b w:val="0"/>
          <w:i w:val="0"/>
        </w:rPr>
        <w:t xml:space="preserve">En effet, la libéralisation économique et la globalisation n’ont pas manqué </w:t>
      </w:r>
    </w:p>
    <w:p>
      <w:pPr>
        <w:sectPr>
          <w:pgSz w:w="11906" w:h="16838"/>
          <w:pgMar w:top="708" w:right="1320" w:bottom="266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401" w:lineRule="auto" w:before="0" w:after="0"/>
        <w:ind w:left="0" w:right="22" w:firstLine="0"/>
        <w:jc w:val="both"/>
      </w:pPr>
      <w:r>
        <w:rPr>
          <w:rFonts w:ascii="Garamond" w:hAnsi="Garamond" w:eastAsia="Garamond"/>
          <w:b w:val="0"/>
          <w:i w:val="0"/>
        </w:rPr>
        <w:t xml:space="preserve">l’opinion publique et surtout parmi les couches de la population qui en </w:t>
      </w:r>
    </w:p>
    <w:p>
      <w:pPr>
        <w:sectPr>
          <w:pgSz w:w="11906" w:h="16838"/>
          <w:pgMar w:top="708" w:right="1320" w:bottom="266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360" w:lineRule="auto" w:before="0" w:after="0"/>
        <w:ind w:left="0" w:right="0" w:firstLine="0"/>
        <w:jc w:val="left"/>
      </w:pPr>
      <w:r>
        <w:rPr>
          <w:rFonts w:ascii="Garamond" w:hAnsi="Garamond" w:eastAsia="Garamond"/>
          <w:b w:val="0"/>
          <w:i w:val="0"/>
        </w:rPr>
        <w:t xml:space="preserve">on se retrouve face à des négociateurs, avec des marges significativement </w:t>
      </w:r>
    </w:p>
    <w:p>
      <w:pPr>
        <w:sectPr>
          <w:pgSz w:w="11906" w:h="16838"/>
          <w:pgMar w:top="708" w:right="1320" w:bottom="266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420" w:lineRule="auto" w:before="0" w:after="0"/>
        <w:ind w:left="0" w:right="20" w:firstLine="0"/>
        <w:jc w:val="both"/>
      </w:pPr>
      <w:r>
        <w:rPr>
          <w:rFonts w:ascii="Garamond" w:hAnsi="Garamond" w:eastAsia="Garamond"/>
          <w:b w:val="0"/>
          <w:i w:val="0"/>
        </w:rPr>
        <w:t xml:space="preserve">notation et d’institutions internationales telles que le FMI dans le cadre de ses </w:t>
      </w:r>
    </w:p>
    <w:p>
      <w:pPr>
        <w:sectPr>
          <w:pgSz w:w="11906" w:h="16838"/>
          <w:pgMar w:top="708" w:right="1320" w:bottom="266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360" w:lineRule="auto" w:before="0" w:after="0"/>
        <w:ind w:left="0" w:right="0" w:firstLine="0"/>
        <w:jc w:val="center"/>
      </w:pPr>
      <w:r>
        <w:rPr>
          <w:rFonts w:ascii="Garamond" w:hAnsi="Garamond" w:eastAsia="Garamond"/>
          <w:b w:val="0"/>
          <w:i w:val="0"/>
        </w:rPr>
        <w:t xml:space="preserve">rôle et l’étendue du contrôle des finances publiques par les représentants du </w:t>
      </w:r>
    </w:p>
    <w:p>
      <w:pPr>
        <w:sectPr>
          <w:pgSz w:w="11906" w:h="16838"/>
          <w:pgMar w:top="708" w:right="1320" w:bottom="266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360" w:lineRule="auto" w:before="0" w:after="0"/>
        <w:ind w:left="0" w:right="0" w:firstLine="0"/>
        <w:jc w:val="center"/>
      </w:pPr>
      <w:r>
        <w:rPr>
          <w:rFonts w:ascii="Garamond" w:hAnsi="Garamond" w:eastAsia="Garamond"/>
          <w:b w:val="0"/>
          <w:i w:val="0"/>
        </w:rPr>
        <w:t xml:space="preserve">de politiques non-conventionnelles mises en œuvre dans les pays avancés, </w:t>
      </w:r>
    </w:p>
    <w:p>
      <w:pPr>
        <w:sectPr>
          <w:pgSz w:w="11906" w:h="16838"/>
          <w:pgMar w:top="708" w:right="1320" w:bottom="266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420" w:lineRule="auto" w:before="0" w:after="0"/>
        <w:ind w:left="0" w:right="20" w:firstLine="0"/>
        <w:jc w:val="both"/>
      </w:pPr>
      <w:r>
        <w:rPr>
          <w:rFonts w:ascii="Garamond" w:hAnsi="Garamond" w:eastAsia="Garamond"/>
          <w:b w:val="0"/>
          <w:i w:val="0"/>
        </w:rPr>
        <w:t xml:space="preserve">simultanée : (i) une souveraineté de la politique macro-prudentielle ; (ii) une </w:t>
      </w:r>
    </w:p>
    <w:p>
      <w:pPr>
        <w:sectPr>
          <w:pgSz w:w="11906" w:h="16838"/>
          <w:pgMar w:top="708" w:right="1320" w:bottom="266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Garamond" w:hAnsi="Garamond" w:eastAsia="Garamond"/>
          <w:b/>
          <w:i w:val="0"/>
        </w:rPr>
        <w:t xml:space="preserve">Mesdames et Messieurs, </w:t>
      </w:r>
    </w:p>
    <w:p>
      <w:pPr>
        <w:sectPr>
          <w:pgSz w:w="11906" w:h="16838"/>
          <w:pgMar w:top="708" w:right="1320" w:bottom="266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454" w:lineRule="auto" w:before="0" w:after="0"/>
        <w:ind w:left="0" w:right="0" w:firstLine="0"/>
        <w:jc w:val="left"/>
      </w:pPr>
      <w:r>
        <w:rPr>
          <w:rFonts w:ascii="Garamond" w:hAnsi="Garamond" w:eastAsia="Garamond"/>
          <w:b w:val="0"/>
          <w:i w:val="0"/>
        </w:rPr>
        <w:t xml:space="preserve">Ces évolutions rapides et évidemment irréversibles, nous amènent à nous </w:t>
      </w:r>
    </w:p>
    <w:sectPr w:rsidR="00FC693F" w:rsidRPr="0006063C" w:rsidSect="00034616">
      <w:pgSz w:w="11906" w:h="16838"/>
      <w:pgMar w:top="708" w:right="1320" w:bottom="266" w:left="141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