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16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Assemblées Annuelles de la BM et du FMI </w:t>
      </w:r>
    </w:p>
    <w:p>
      <w:pPr>
        <w:sectPr>
          <w:pgSz w:w="11906" w:h="16838"/>
          <w:pgMar w:top="888" w:right="1278" w:bottom="144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288" w:firstLine="0"/>
        <w:jc w:val="left"/>
      </w:pPr>
      <w:r>
        <w:rPr>
          <w:rFonts w:ascii="Garamond" w:hAnsi="Garamond" w:eastAsia="Garamond"/>
          <w:b/>
          <w:i w:val="0"/>
        </w:rPr>
        <w:t xml:space="preserve">Madame la Première Vice-Présidente et Ministre de l’Economie et de </w:t>
      </w:r>
    </w:p>
    <w:p>
      <w:pPr>
        <w:sectPr>
          <w:pgSz w:w="11906" w:h="16838"/>
          <w:pgMar w:top="950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Les derniers chiffres du FMI à cet effet indiquent que les pays émergents et en </w:t>
      </w:r>
    </w:p>
    <w:p>
      <w:pPr>
        <w:sectPr>
          <w:pgSz w:w="11906" w:h="16838"/>
          <w:pgMar w:top="710" w:right="1320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la Banque, les femmes représente plus de 40% au jourd’hui. Au-delà de la </w:t>
      </w:r>
    </w:p>
    <w:sectPr w:rsidR="00FC693F" w:rsidRPr="0006063C" w:rsidSect="00034616">
      <w:pgSz w:w="11906" w:h="16838"/>
      <w:pgMar w:top="708" w:right="1320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