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9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8410" cy="1670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7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20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678" w:after="0"/>
        <w:ind w:left="3600" w:right="3600" w:firstLine="0"/>
        <w:jc w:val="center"/>
      </w:pPr>
      <w:r>
        <w:rPr>
          <w:rFonts w:ascii="TimesNewRoman,Bold" w:hAnsi="TimesNewRoman,Bold" w:eastAsia="TimesNewRoman,Bold"/>
          <w:b/>
          <w:i w:val="0"/>
        </w:rPr>
        <w:t xml:space="preserve">ALLOCUTION DE </w:t>
      </w:r>
    </w:p>
    <w:p>
      <w:pPr>
        <w:sectPr>
          <w:pgSz w:w="11900" w:h="16840"/>
          <w:pgMar w:top="800" w:right="0" w:bottom="140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76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0" w:right="1584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Monsieur le Ministre ; </w:t>
      </w:r>
    </w:p>
    <w:p>
      <w:pPr>
        <w:sectPr>
          <w:pgSz w:w="11900" w:h="16840"/>
          <w:pgMar w:top="1196" w:right="132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436" w:lineRule="exact" w:before="0" w:after="0"/>
        <w:ind w:left="720" w:right="20" w:hanging="360"/>
        <w:jc w:val="both"/>
      </w:pPr>
      <w:r>
        <w:rPr>
          <w:rFonts w:ascii="SymbolMT" w:hAnsi="SymbolMT" w:eastAsia="SymbolMT"/>
          <w:b w:val="0"/>
          <w:i w:val="0"/>
        </w:rPr>
        <w:t>•</w:t>
      </w:r>
    </w:p>
    <w:p>
      <w:pPr>
        <w:sectPr>
          <w:pgSz w:w="11900" w:h="16840"/>
          <w:pgMar w:top="708" w:right="132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22" w:firstLine="0"/>
        <w:jc w:val="both"/>
      </w:pPr>
      <w:r>
        <w:rPr>
          <w:rFonts w:ascii="TimesNewRoman" w:hAnsi="TimesNewRoman" w:eastAsia="TimesNewRoman"/>
          <w:b w:val="0"/>
          <w:i w:val="0"/>
        </w:rPr>
        <w:t xml:space="preserve">Ces mêmes enquêtes établissent également que la décrue des taux d’intérêt de </w:t>
      </w:r>
    </w:p>
    <w:p>
      <w:pPr>
        <w:sectPr>
          <w:pgSz w:w="11900" w:h="16840"/>
          <w:pgMar w:top="712" w:right="131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22" w:firstLine="0"/>
        <w:jc w:val="both"/>
      </w:pPr>
      <w:r>
        <w:rPr>
          <w:rFonts w:ascii="TimesNewRoman" w:hAnsi="TimesNewRoman" w:eastAsia="TimesNewRoman"/>
          <w:b w:val="0"/>
          <w:i w:val="0"/>
        </w:rPr>
        <w:t xml:space="preserve">la CGEM, pour faciliter et rééquilibrer les engagements réciproques portant </w:t>
      </w:r>
    </w:p>
    <w:p>
      <w:pPr>
        <w:sectPr>
          <w:pgSz w:w="11900" w:h="16840"/>
          <w:pgMar w:top="712" w:right="131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22" w:firstLine="0"/>
        <w:jc w:val="both"/>
      </w:pPr>
      <w:r>
        <w:rPr>
          <w:rFonts w:ascii="TimesNewRoman" w:hAnsi="TimesNewRoman" w:eastAsia="TimesNewRoman"/>
          <w:b w:val="0"/>
          <w:i w:val="0"/>
        </w:rPr>
        <w:t xml:space="preserve">Au niveau de la tarification des services bancaires, le système bancaire a arrêté </w:t>
      </w:r>
    </w:p>
    <w:p>
      <w:pPr>
        <w:sectPr>
          <w:pgSz w:w="11900" w:h="16840"/>
          <w:pgMar w:top="712" w:right="131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une plus grande proximité avec les opérateurs économiques et un meilleur suivi </w:t>
      </w:r>
    </w:p>
    <w:sectPr w:rsidR="00FC693F" w:rsidRPr="0006063C" w:rsidSect="00034616">
      <w:pgSz w:w="11900" w:h="16840"/>
      <w:pgMar w:top="712" w:right="1320" w:bottom="356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