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1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828800" cy="12484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484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70" w:lineRule="auto" w:before="762" w:after="0"/>
        <w:ind w:left="0" w:right="0" w:firstLine="0"/>
        <w:jc w:val="center"/>
      </w:pPr>
      <w:r>
        <w:rPr>
          <w:rFonts w:ascii="Garamond" w:hAnsi="Garamond" w:eastAsia="Garamond"/>
          <w:b w:val="0"/>
          <w:i w:val="0"/>
        </w:rPr>
        <w:t xml:space="preserve">Séminaire régional organisé conjointement par la Société Financière Internationale </w:t>
      </w:r>
    </w:p>
    <w:p>
      <w:pPr>
        <w:sectPr>
          <w:pgSz w:w="11906" w:h="16838"/>
          <w:pgMar w:top="708" w:right="1336" w:bottom="49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L’intérêt de cette rencontre réside d’abord dans le partage d’expériences pratiques entre les </w:t>
      </w:r>
    </w:p>
    <w:p>
      <w:pPr>
        <w:sectPr>
          <w:pgSz w:w="11906" w:h="16838"/>
          <w:pgMar w:top="708" w:right="1336" w:bottom="49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Garamond" w:hAnsi="Garamond" w:eastAsia="Garamond"/>
          <w:b w:val="0"/>
          <w:i w:val="0"/>
        </w:rPr>
        <w:t xml:space="preserve">Une telle évolution permettra une meilleure accessibilité au crédit pour les personnes non </w:t>
      </w:r>
    </w:p>
    <w:sectPr w:rsidR="00FC693F" w:rsidRPr="0006063C" w:rsidSect="00034616">
      <w:pgSz w:w="11906" w:h="16838"/>
      <w:pgMar w:top="708" w:right="1336" w:bottom="492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