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94839" cy="1009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839" cy="1009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8" w:lineRule="exact" w:before="2908" w:after="1302"/>
        <w:ind w:left="0" w:right="0" w:firstLine="0"/>
        <w:jc w:val="center"/>
      </w:pPr>
      <w:r>
        <w:rPr>
          <w:rFonts w:ascii="Arial,Bold" w:hAnsi="Arial,Bold" w:eastAsia="Arial,Bold"/>
          <w:b/>
          <w:i w:val="0"/>
        </w:rPr>
        <w:t xml:space="preserve">Conférence de presse pour </w:t>
      </w:r>
    </w:p>
    <w:p>
      <w:pPr>
        <w:sectPr>
          <w:pgSz w:w="11906" w:h="16838"/>
          <w:pgMar w:top="212" w:right="850" w:bottom="1440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39139" cy="7086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39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2" w:lineRule="exact" w:before="22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Monsieur le Ministre de l’Economie et des Finances, </w:t>
      </w:r>
    </w:p>
    <w:p>
      <w:pPr>
        <w:sectPr>
          <w:pgSz w:w="11906" w:h="16838"/>
          <w:pgMar w:top="214" w:right="88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39139" cy="708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39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62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</w:rPr>
        <w:t xml:space="preserve">La mise en œuvre de cet engagement nécessite une mobilisation forte </w:t>
      </w:r>
    </w:p>
    <w:p>
      <w:pPr>
        <w:sectPr>
          <w:pgSz w:w="11906" w:h="16838"/>
          <w:pgMar w:top="214" w:right="88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39139" cy="7086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39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7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</w:rPr>
        <w:t xml:space="preserve">Capitalisant sur l’ensemble de ces initiatives, le secteur financier </w:t>
      </w:r>
    </w:p>
    <w:p>
      <w:pPr>
        <w:sectPr>
          <w:pgSz w:w="11906" w:h="16838"/>
          <w:pgMar w:top="212" w:right="88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39139" cy="7086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39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auto" w:before="22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</w:rPr>
        <w:t xml:space="preserve">d’épargne-retraite dont les primes seraient placées dans des actifs </w:t>
      </w:r>
    </w:p>
    <w:p>
      <w:pPr>
        <w:sectPr>
          <w:pgSz w:w="11906" w:h="16838"/>
          <w:pgMar w:top="212" w:right="88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39139" cy="7086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39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auto" w:before="22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</w:rPr>
        <w:t xml:space="preserve">adéquates en vue de les réduire et ce, à travers une politique de </w:t>
      </w:r>
    </w:p>
    <w:p>
      <w:pPr>
        <w:sectPr>
          <w:pgSz w:w="11906" w:h="16838"/>
          <w:pgMar w:top="212" w:right="88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39139" cy="7086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39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226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La Bourse de Casablanca compte, de son coté, mettre en place, à très </w:t>
      </w:r>
    </w:p>
    <w:p>
      <w:pPr>
        <w:sectPr>
          <w:pgSz w:w="11906" w:h="16838"/>
          <w:pgMar w:top="212" w:right="888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39139" cy="7086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39" cy="708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572" w:after="0"/>
        <w:ind w:left="0" w:right="20" w:firstLine="0"/>
        <w:jc w:val="both"/>
      </w:pPr>
      <w:r>
        <w:rPr>
          <w:rFonts w:ascii="Arial" w:hAnsi="Arial" w:eastAsia="Arial"/>
          <w:b w:val="0"/>
          <w:i w:val="0"/>
        </w:rPr>
        <w:t xml:space="preserve">D’autre part, « Casablanca Finance City », a pour ambition de se </w:t>
      </w:r>
    </w:p>
    <w:sectPr w:rsidR="00FC693F" w:rsidRPr="0006063C" w:rsidSect="00034616">
      <w:pgSz w:w="11906" w:h="16838"/>
      <w:pgMar w:top="214" w:right="888" w:bottom="49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